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5C" w:rsidRDefault="0099215C" w:rsidP="0099215C">
      <w:pPr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>NOTA ACLARATORIA DE LAS NORMAS REFERENTES A ESTRUCTURA Y PLANTA.</w:t>
      </w:r>
    </w:p>
    <w:p w:rsidR="0099215C" w:rsidRPr="0099215C" w:rsidRDefault="0099215C" w:rsidP="0099215C">
      <w:pPr>
        <w:pStyle w:val="NormalWeb"/>
        <w:ind w:left="72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99215C" w:rsidRDefault="00CD3F37" w:rsidP="00F37896">
      <w:pPr>
        <w:pStyle w:val="NormalWeb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99215C">
        <w:rPr>
          <w:rFonts w:ascii="Arial" w:hAnsi="Arial" w:cs="Arial"/>
          <w:bCs/>
          <w:color w:val="000000"/>
        </w:rPr>
        <w:t xml:space="preserve">Para el año 2012 la </w:t>
      </w:r>
      <w:r w:rsidR="002D7DC5" w:rsidRPr="0099215C">
        <w:rPr>
          <w:rFonts w:ascii="Arial" w:hAnsi="Arial" w:cs="Arial"/>
          <w:bCs/>
          <w:color w:val="000000"/>
          <w:shd w:val="clear" w:color="auto" w:fill="FFFFFF"/>
        </w:rPr>
        <w:t>estructura básica de la Personería de Bogotá, las funciones de sus dependencias</w:t>
      </w:r>
      <w:r w:rsidR="00D06E53" w:rsidRPr="0099215C">
        <w:rPr>
          <w:rFonts w:ascii="Arial" w:hAnsi="Arial" w:cs="Arial"/>
          <w:bCs/>
          <w:color w:val="000000"/>
          <w:shd w:val="clear" w:color="auto" w:fill="FFFFFF"/>
        </w:rPr>
        <w:t xml:space="preserve"> y</w:t>
      </w:r>
      <w:r w:rsidR="002D7DC5" w:rsidRPr="0099215C">
        <w:rPr>
          <w:rFonts w:ascii="Arial" w:hAnsi="Arial" w:cs="Arial"/>
          <w:bCs/>
          <w:color w:val="000000"/>
          <w:shd w:val="clear" w:color="auto" w:fill="FFFFFF"/>
        </w:rPr>
        <w:t xml:space="preserve"> la planta de personal </w:t>
      </w:r>
      <w:r w:rsidR="00D06E53" w:rsidRPr="0099215C">
        <w:rPr>
          <w:rFonts w:ascii="Arial" w:hAnsi="Arial" w:cs="Arial"/>
          <w:bCs/>
          <w:color w:val="000000"/>
          <w:shd w:val="clear" w:color="auto" w:fill="FFFFFF"/>
        </w:rPr>
        <w:t>se encontraban establecidas</w:t>
      </w:r>
      <w:r w:rsidR="0073655A" w:rsidRPr="009921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D06E53" w:rsidRPr="0099215C">
        <w:rPr>
          <w:rFonts w:ascii="Arial" w:hAnsi="Arial" w:cs="Arial"/>
          <w:bCs/>
          <w:color w:val="000000"/>
          <w:shd w:val="clear" w:color="auto" w:fill="FFFFFF"/>
        </w:rPr>
        <w:t>en el Acuerdo 034 de 1993</w:t>
      </w:r>
      <w:r w:rsidR="0073655A" w:rsidRPr="0099215C">
        <w:rPr>
          <w:rFonts w:ascii="Arial" w:hAnsi="Arial" w:cs="Arial"/>
          <w:bCs/>
          <w:color w:val="000000"/>
          <w:shd w:val="clear" w:color="auto" w:fill="FFFFFF"/>
        </w:rPr>
        <w:t>, y en las modificaciones introducidas por los Acuerdos 13 de 1999</w:t>
      </w:r>
      <w:r w:rsidR="00316DE0" w:rsidRPr="0099215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316DE0" w:rsidRPr="0099215C">
        <w:rPr>
          <w:rFonts w:ascii="Arial" w:hAnsi="Arial" w:cs="Arial"/>
          <w:b/>
          <w:bCs/>
          <w:color w:val="000000"/>
          <w:shd w:val="clear" w:color="auto" w:fill="FFFFFF"/>
        </w:rPr>
        <w:t>(</w:t>
      </w:r>
      <w:r w:rsidR="00316DE0" w:rsidRPr="0099215C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modifica parcialmente la estructura y la planta)</w:t>
      </w:r>
      <w:r w:rsidR="0073655A" w:rsidRPr="0099215C">
        <w:rPr>
          <w:rFonts w:ascii="Arial" w:hAnsi="Arial" w:cs="Arial"/>
          <w:bCs/>
          <w:color w:val="000000"/>
          <w:shd w:val="clear" w:color="auto" w:fill="FFFFFF"/>
        </w:rPr>
        <w:t>, 182</w:t>
      </w:r>
      <w:r w:rsidR="00316DE0" w:rsidRPr="0099215C">
        <w:rPr>
          <w:rFonts w:ascii="Arial" w:hAnsi="Arial" w:cs="Arial"/>
          <w:bCs/>
          <w:color w:val="000000"/>
          <w:shd w:val="clear" w:color="auto" w:fill="FFFFFF"/>
        </w:rPr>
        <w:t xml:space="preserve"> de 2005 (modifica la estructura básica en cumplimiento de lo dispuesto p</w:t>
      </w:r>
      <w:r w:rsidR="00C43CAB" w:rsidRPr="0099215C">
        <w:rPr>
          <w:rFonts w:ascii="Arial" w:hAnsi="Arial" w:cs="Arial"/>
          <w:bCs/>
          <w:color w:val="000000"/>
          <w:shd w:val="clear" w:color="auto" w:fill="FFFFFF"/>
        </w:rPr>
        <w:t xml:space="preserve">or el Decreto Ley 785 de 2005) </w:t>
      </w:r>
      <w:r w:rsidR="00316DE0" w:rsidRPr="0099215C">
        <w:rPr>
          <w:rFonts w:ascii="Arial" w:hAnsi="Arial" w:cs="Arial"/>
          <w:bCs/>
          <w:color w:val="000000"/>
          <w:shd w:val="clear" w:color="auto" w:fill="FFFFFF"/>
        </w:rPr>
        <w:t>y</w:t>
      </w:r>
      <w:r w:rsidR="0073655A" w:rsidRPr="0099215C">
        <w:rPr>
          <w:rFonts w:ascii="Arial" w:hAnsi="Arial" w:cs="Arial"/>
          <w:bCs/>
          <w:color w:val="000000"/>
          <w:shd w:val="clear" w:color="auto" w:fill="FFFFFF"/>
        </w:rPr>
        <w:t xml:space="preserve"> 183 de</w:t>
      </w:r>
      <w:r w:rsidR="00316DE0" w:rsidRPr="0099215C">
        <w:rPr>
          <w:rFonts w:ascii="Arial" w:hAnsi="Arial" w:cs="Arial"/>
          <w:bCs/>
          <w:color w:val="000000"/>
          <w:shd w:val="clear" w:color="auto" w:fill="FFFFFF"/>
        </w:rPr>
        <w:t xml:space="preserve"> 2005 (ajusta y modifica la planta de personal al Sistema de Nomenclatura y Clasificación de Empleos, de acuerdo con lo establecido en el Decreto Ley 785 de 2005)</w:t>
      </w:r>
      <w:r w:rsidR="0073655A" w:rsidRPr="0099215C"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99215C" w:rsidRPr="0099215C" w:rsidRDefault="0099215C" w:rsidP="0099215C">
      <w:pPr>
        <w:pStyle w:val="NormalWeb"/>
        <w:ind w:left="72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C43CAB" w:rsidRPr="00733929" w:rsidRDefault="00BE4AA2" w:rsidP="00733929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  <w:r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A partir del 1° de enero de 2013 entra en vigencia el Acuerdo 514 de diciembre 18 de 2012, por medio del cual se modifica la Estructura Organizacional y la Planta de Empleos de la Personería.</w:t>
      </w:r>
      <w:r w:rsidR="0014393F"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Este </w:t>
      </w:r>
      <w:r w:rsidR="00C43CAB"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acuerdo suprime áreas de la estructura de la personería</w:t>
      </w:r>
      <w:r w:rsidR="00891B11"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que se encontraban consagradas  en  el artículo 5, numerales</w:t>
      </w:r>
      <w:r w:rsidR="00891B11" w:rsidRPr="00733929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</w:t>
      </w:r>
      <w:hyperlink r:id="rId6" w:anchor="5.1" w:history="1">
        <w:r w:rsidR="00891B11" w:rsidRPr="00733929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es-CO"/>
          </w:rPr>
          <w:t>5.1</w:t>
        </w:r>
      </w:hyperlink>
      <w:r w:rsidR="00891B11"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y 5.2 y artículo 7, numerales 7.1, 7.2, 7.3</w:t>
      </w:r>
      <w:r w:rsidR="00891B11" w:rsidRPr="00733929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del </w:t>
      </w:r>
      <w:r w:rsidR="00891B11" w:rsidRPr="007339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Acuerdo 182 de 2005.</w:t>
      </w:r>
    </w:p>
    <w:p w:rsidR="00621C0B" w:rsidRPr="001808CF" w:rsidRDefault="00891B11" w:rsidP="00733929">
      <w:pPr>
        <w:shd w:val="clear" w:color="auto" w:fill="FFFFFF"/>
        <w:ind w:left="708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1808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Así mismo, modifica las funciones contempladas en el Acuerdo 034 de 1993 en lo referente a la </w:t>
      </w:r>
      <w:r w:rsidRPr="001808CF">
        <w:rPr>
          <w:rFonts w:ascii="Arial" w:eastAsia="Times New Roman" w:hAnsi="Arial" w:cs="Arial"/>
          <w:sz w:val="24"/>
          <w:szCs w:val="24"/>
          <w:lang w:eastAsia="es-CO"/>
        </w:rPr>
        <w:t>Unidad de Investigaciones Especiales y Apoyo Técnico, la Secretaría General, modifica la denominación de la dirección de recursos humanos por la de D. de Talento Humano y sus funciones.</w:t>
      </w:r>
    </w:p>
    <w:p w:rsidR="00891B11" w:rsidRPr="001808CF" w:rsidRDefault="00E50F6E" w:rsidP="00733929">
      <w:pPr>
        <w:shd w:val="clear" w:color="auto" w:fill="FFFFFF"/>
        <w:ind w:left="708"/>
        <w:jc w:val="both"/>
        <w:textAlignment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8CF">
        <w:rPr>
          <w:rFonts w:ascii="Arial" w:eastAsia="Times New Roman" w:hAnsi="Arial" w:cs="Arial"/>
          <w:sz w:val="24"/>
          <w:szCs w:val="24"/>
          <w:lang w:eastAsia="es-CO"/>
        </w:rPr>
        <w:t>Cambió</w:t>
      </w:r>
      <w:r w:rsidR="00891B11" w:rsidRPr="001808CF">
        <w:rPr>
          <w:rFonts w:ascii="Arial" w:eastAsia="Times New Roman" w:hAnsi="Arial" w:cs="Arial"/>
          <w:sz w:val="24"/>
          <w:szCs w:val="24"/>
          <w:lang w:eastAsia="es-CO"/>
        </w:rPr>
        <w:t xml:space="preserve"> la denominación de la </w:t>
      </w:r>
      <w:r w:rsidR="00B04AEC" w:rsidRPr="001808CF">
        <w:rPr>
          <w:rFonts w:ascii="Arial" w:eastAsia="Times New Roman" w:hAnsi="Arial" w:cs="Arial"/>
          <w:sz w:val="24"/>
          <w:szCs w:val="24"/>
          <w:lang w:eastAsia="es-CO"/>
        </w:rPr>
        <w:t xml:space="preserve">entonces Unidad Administrativa y Financiera por la de Dirección Administrativa y Financiera y varía las funciones contempladas en el artículo 14 del </w:t>
      </w:r>
      <w:r w:rsidR="00B04AEC" w:rsidRPr="001808CF">
        <w:rPr>
          <w:rFonts w:ascii="Arial" w:hAnsi="Arial" w:cs="Arial"/>
          <w:color w:val="000000"/>
          <w:sz w:val="24"/>
          <w:szCs w:val="24"/>
          <w:shd w:val="clear" w:color="auto" w:fill="FFFFFF"/>
        </w:rPr>
        <w:t>Acuerdo 34 de 1993</w:t>
      </w:r>
      <w:r w:rsidR="0099215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04AEC" w:rsidRPr="00180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concordancia con el artículo 6 del Acuerdo 182 de 2005.</w:t>
      </w:r>
    </w:p>
    <w:p w:rsidR="00B04AEC" w:rsidRPr="001808CF" w:rsidRDefault="00B04AEC" w:rsidP="00733929">
      <w:pPr>
        <w:shd w:val="clear" w:color="auto" w:fill="FFFFFF"/>
        <w:ind w:left="708"/>
        <w:jc w:val="both"/>
        <w:textAlignment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</w:rPr>
        <w:t>Suprimió algunas funciones de la oficina asesora de jurídica contempladas en el artículo 3 del Acuerdo 13 de 1999.</w:t>
      </w:r>
    </w:p>
    <w:p w:rsidR="001808CF" w:rsidRPr="001808CF" w:rsidRDefault="001808CF" w:rsidP="00733929">
      <w:pPr>
        <w:shd w:val="clear" w:color="auto" w:fill="FFFFFF"/>
        <w:ind w:left="708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M</w:t>
      </w:r>
      <w:r w:rsidR="00E50F6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odificó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 la denominación de las personerías delegadas contempladas en el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artículo</w:t>
      </w:r>
      <w:r w:rsidRPr="001808C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 </w:t>
      </w:r>
      <w:r w:rsidR="00E52F10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4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del Acuerdo 34 de 1993 </w:t>
      </w:r>
      <w:r w:rsidRPr="001808CF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 numerales 3.4; 3.6; 3.7; 3.8; 3.9; 3.10; 3.11; 3.12; 3.13; 3.14 y 3.17 y en el artículo 18 numerales 4 y 9. Así como la denominación de la entonces 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C</w:t>
      </w:r>
      <w:r w:rsidR="00E50F6E"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oordinadora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 D</w:t>
      </w:r>
      <w:r w:rsidR="00E50F6E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e 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P</w:t>
      </w:r>
      <w:r w:rsidR="00E50F6E"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>ersonerías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 L</w:t>
      </w:r>
      <w:r w:rsidR="00E50F6E"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ocales 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contemplada en el 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Artículo 2</w:t>
      </w:r>
      <w:r w:rsidRPr="001808C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 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del Acuerdo 182 de 2005</w:t>
      </w:r>
      <w:r w:rsidR="00E50F6E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1808CF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_tradnl"/>
        </w:rPr>
        <w:t xml:space="preserve">por la de </w:t>
      </w:r>
      <w:r w:rsidRPr="001808CF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Personería Delegada para la Coordinación de Personerías Locales.</w:t>
      </w:r>
    </w:p>
    <w:p w:rsidR="001808CF" w:rsidRPr="001808CF" w:rsidRDefault="001808CF" w:rsidP="00621C0B">
      <w:pPr>
        <w:shd w:val="clear" w:color="auto" w:fill="FFFFFF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</w:p>
    <w:p w:rsidR="00CD4900" w:rsidRPr="00824FDE" w:rsidRDefault="00CD4900" w:rsidP="004D3456">
      <w:pPr>
        <w:pStyle w:val="Prrafodelista"/>
        <w:shd w:val="clear" w:color="auto" w:fill="FFFFFF"/>
        <w:jc w:val="both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s-CO"/>
        </w:rPr>
      </w:pPr>
    </w:p>
    <w:p w:rsidR="00733929" w:rsidRPr="001808CF" w:rsidRDefault="00733929" w:rsidP="00C43CAB">
      <w:pPr>
        <w:shd w:val="clear" w:color="auto" w:fill="FFFFFF"/>
        <w:jc w:val="both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s-CO"/>
        </w:rPr>
      </w:pPr>
    </w:p>
    <w:sectPr w:rsidR="00733929" w:rsidRPr="00180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25DC"/>
    <w:multiLevelType w:val="hybridMultilevel"/>
    <w:tmpl w:val="01DA4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39"/>
    <w:rsid w:val="0014393F"/>
    <w:rsid w:val="001808CF"/>
    <w:rsid w:val="002056EF"/>
    <w:rsid w:val="002D7DC5"/>
    <w:rsid w:val="00316DE0"/>
    <w:rsid w:val="00421278"/>
    <w:rsid w:val="004D3456"/>
    <w:rsid w:val="00621C0B"/>
    <w:rsid w:val="00693A39"/>
    <w:rsid w:val="00733929"/>
    <w:rsid w:val="0073655A"/>
    <w:rsid w:val="00824FDE"/>
    <w:rsid w:val="00891B11"/>
    <w:rsid w:val="0099215C"/>
    <w:rsid w:val="00B04AEC"/>
    <w:rsid w:val="00BE4AA2"/>
    <w:rsid w:val="00C43CAB"/>
    <w:rsid w:val="00CD3F37"/>
    <w:rsid w:val="00CD4900"/>
    <w:rsid w:val="00D06E53"/>
    <w:rsid w:val="00E50F6E"/>
    <w:rsid w:val="00E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D7DC5"/>
    <w:rPr>
      <w:b/>
      <w:bCs/>
    </w:rPr>
  </w:style>
  <w:style w:type="character" w:customStyle="1" w:styleId="apple-converted-space">
    <w:name w:val="apple-converted-space"/>
    <w:basedOn w:val="Fuentedeprrafopredeter"/>
    <w:rsid w:val="002D7DC5"/>
  </w:style>
  <w:style w:type="character" w:styleId="Hipervnculo">
    <w:name w:val="Hyperlink"/>
    <w:basedOn w:val="Fuentedeprrafopredeter"/>
    <w:uiPriority w:val="99"/>
    <w:semiHidden/>
    <w:unhideWhenUsed/>
    <w:rsid w:val="002D7DC5"/>
    <w:rPr>
      <w:color w:val="0000FF"/>
      <w:u w:val="single"/>
    </w:rPr>
  </w:style>
  <w:style w:type="character" w:customStyle="1" w:styleId="grame">
    <w:name w:val="grame"/>
    <w:basedOn w:val="Fuentedeprrafopredeter"/>
    <w:rsid w:val="00C43CAB"/>
  </w:style>
  <w:style w:type="character" w:styleId="nfasis">
    <w:name w:val="Emphasis"/>
    <w:basedOn w:val="Fuentedeprrafopredeter"/>
    <w:uiPriority w:val="20"/>
    <w:qFormat/>
    <w:rsid w:val="00891B11"/>
    <w:rPr>
      <w:i/>
      <w:iCs/>
    </w:rPr>
  </w:style>
  <w:style w:type="paragraph" w:styleId="Prrafodelista">
    <w:name w:val="List Paragraph"/>
    <w:basedOn w:val="Normal"/>
    <w:uiPriority w:val="34"/>
    <w:qFormat/>
    <w:rsid w:val="007339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1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D7DC5"/>
    <w:rPr>
      <w:b/>
      <w:bCs/>
    </w:rPr>
  </w:style>
  <w:style w:type="character" w:customStyle="1" w:styleId="apple-converted-space">
    <w:name w:val="apple-converted-space"/>
    <w:basedOn w:val="Fuentedeprrafopredeter"/>
    <w:rsid w:val="002D7DC5"/>
  </w:style>
  <w:style w:type="character" w:styleId="Hipervnculo">
    <w:name w:val="Hyperlink"/>
    <w:basedOn w:val="Fuentedeprrafopredeter"/>
    <w:uiPriority w:val="99"/>
    <w:semiHidden/>
    <w:unhideWhenUsed/>
    <w:rsid w:val="002D7DC5"/>
    <w:rPr>
      <w:color w:val="0000FF"/>
      <w:u w:val="single"/>
    </w:rPr>
  </w:style>
  <w:style w:type="character" w:customStyle="1" w:styleId="grame">
    <w:name w:val="grame"/>
    <w:basedOn w:val="Fuentedeprrafopredeter"/>
    <w:rsid w:val="00C43CAB"/>
  </w:style>
  <w:style w:type="character" w:styleId="nfasis">
    <w:name w:val="Emphasis"/>
    <w:basedOn w:val="Fuentedeprrafopredeter"/>
    <w:uiPriority w:val="20"/>
    <w:qFormat/>
    <w:rsid w:val="00891B11"/>
    <w:rPr>
      <w:i/>
      <w:iCs/>
    </w:rPr>
  </w:style>
  <w:style w:type="paragraph" w:styleId="Prrafodelista">
    <w:name w:val="List Paragraph"/>
    <w:basedOn w:val="Normal"/>
    <w:uiPriority w:val="34"/>
    <w:qFormat/>
    <w:rsid w:val="007339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caldiabogota.gov.co/sisjur/normas/Norma1.jsp?i=18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De Leon</dc:creator>
  <cp:lastModifiedBy>Juan Gabriel Tibaduiza Sanabria</cp:lastModifiedBy>
  <cp:revision>2</cp:revision>
  <cp:lastPrinted>2016-02-10T13:29:00Z</cp:lastPrinted>
  <dcterms:created xsi:type="dcterms:W3CDTF">2016-02-10T13:39:00Z</dcterms:created>
  <dcterms:modified xsi:type="dcterms:W3CDTF">2016-02-10T13:39:00Z</dcterms:modified>
</cp:coreProperties>
</file>