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31" w:rsidRPr="00D84950" w:rsidRDefault="00AD11AC" w:rsidP="002126F4">
      <w:pPr>
        <w:spacing w:after="0"/>
        <w:jc w:val="center"/>
        <w:rPr>
          <w:rFonts w:ascii="Wide Latin" w:hAnsi="Wide Latin"/>
          <w:b/>
          <w:sz w:val="32"/>
          <w:szCs w:val="32"/>
        </w:rPr>
      </w:pPr>
      <w:r w:rsidRPr="00D84950">
        <w:rPr>
          <w:rFonts w:ascii="Wide Latin" w:hAnsi="Wide Latin"/>
          <w:b/>
          <w:sz w:val="32"/>
          <w:szCs w:val="32"/>
        </w:rPr>
        <w:t>Conducencia y pertinencia de la prueba</w:t>
      </w:r>
    </w:p>
    <w:p w:rsidR="003310FE" w:rsidRDefault="003310FE" w:rsidP="002126F4">
      <w:pPr>
        <w:spacing w:after="0"/>
        <w:jc w:val="both"/>
        <w:rPr>
          <w:rFonts w:ascii="Verdana" w:hAnsi="Verdana"/>
          <w:b/>
        </w:rPr>
      </w:pPr>
    </w:p>
    <w:p w:rsidR="003310FE" w:rsidRDefault="003310FE" w:rsidP="002126F4">
      <w:pPr>
        <w:spacing w:after="0"/>
        <w:jc w:val="both"/>
        <w:rPr>
          <w:rFonts w:ascii="Verdana" w:hAnsi="Verdana"/>
        </w:rPr>
      </w:pPr>
      <w:r>
        <w:rPr>
          <w:rFonts w:ascii="Verdana" w:hAnsi="Verdana"/>
        </w:rPr>
        <w:t xml:space="preserve">Teniendo en cuenta la relevancia de los conceptos de “pertinencia”  y “conducencia” a la hora de resolver sobre el decreto de pruebas dentro de la actuación disciplinaria, es preciso revisar algunos pronunciamientos sobre la materia. </w:t>
      </w:r>
      <w:bookmarkStart w:id="0" w:name="_GoBack"/>
      <w:bookmarkEnd w:id="0"/>
    </w:p>
    <w:p w:rsidR="003310FE" w:rsidRDefault="003310FE" w:rsidP="002126F4">
      <w:pPr>
        <w:spacing w:after="0"/>
        <w:jc w:val="both"/>
        <w:rPr>
          <w:rFonts w:ascii="Verdana" w:hAnsi="Verdana"/>
        </w:rPr>
      </w:pPr>
    </w:p>
    <w:p w:rsidR="003310FE" w:rsidRDefault="003310FE" w:rsidP="002126F4">
      <w:pPr>
        <w:spacing w:after="0"/>
        <w:jc w:val="both"/>
        <w:rPr>
          <w:rFonts w:ascii="Verdana" w:hAnsi="Verdana"/>
        </w:rPr>
      </w:pPr>
      <w:r>
        <w:rPr>
          <w:rFonts w:ascii="Verdana" w:hAnsi="Verdana"/>
        </w:rPr>
        <w:t>Con relación a la conducencia, “[…] se refiere a la aptitud legal de la pruebas respecto del medio mismo o en relación al hecho por probar”</w:t>
      </w:r>
      <w:r>
        <w:rPr>
          <w:rStyle w:val="Refdenotaalpie"/>
          <w:rFonts w:ascii="Verdana" w:hAnsi="Verdana"/>
        </w:rPr>
        <w:footnoteReference w:id="1"/>
      </w:r>
      <w:r>
        <w:rPr>
          <w:rFonts w:ascii="Verdana" w:hAnsi="Verdana"/>
        </w:rPr>
        <w:t>. Otro sector de la doctrina ha dicho que:</w:t>
      </w:r>
    </w:p>
    <w:p w:rsidR="003310FE" w:rsidRDefault="003310FE" w:rsidP="002126F4">
      <w:pPr>
        <w:spacing w:after="0"/>
        <w:jc w:val="both"/>
        <w:rPr>
          <w:rFonts w:ascii="Verdana" w:hAnsi="Verdana"/>
        </w:rPr>
      </w:pPr>
    </w:p>
    <w:p w:rsidR="003310FE" w:rsidRDefault="003310FE" w:rsidP="002126F4">
      <w:pPr>
        <w:spacing w:after="0"/>
        <w:ind w:left="708"/>
        <w:jc w:val="both"/>
        <w:rPr>
          <w:rFonts w:ascii="Verdana" w:hAnsi="Verdana"/>
          <w:sz w:val="20"/>
          <w:szCs w:val="20"/>
        </w:rPr>
      </w:pPr>
      <w:r w:rsidRPr="003310FE">
        <w:rPr>
          <w:rFonts w:ascii="Verdana" w:hAnsi="Verdana"/>
          <w:sz w:val="20"/>
          <w:szCs w:val="20"/>
        </w:rPr>
        <w:t>[…] es la idoneidad legal que tiene una prueba para demostrar determinado hecho. Supone que no exista una norma legal que prohíba el empleo del medio para demostrar un hecho determinado. El sistema de la prueba legal, de otra parte, supone que el medio que se emplea, para demostrar el hecho, está consagrado en la ley. La conducencia es una comparación entre el medio probatorio y la ley, a fin de saber si el hecho se puede demostrar en el proceso, con el empleo de ese medio probatorio.</w:t>
      </w:r>
      <w:r>
        <w:rPr>
          <w:rStyle w:val="Refdenotaalpie"/>
          <w:rFonts w:ascii="Verdana" w:hAnsi="Verdana"/>
          <w:sz w:val="20"/>
          <w:szCs w:val="20"/>
        </w:rPr>
        <w:footnoteReference w:id="2"/>
      </w:r>
    </w:p>
    <w:p w:rsidR="003310FE" w:rsidRDefault="003310FE" w:rsidP="002126F4">
      <w:pPr>
        <w:spacing w:after="0"/>
        <w:jc w:val="both"/>
        <w:rPr>
          <w:rFonts w:ascii="Verdana" w:hAnsi="Verdana"/>
          <w:sz w:val="20"/>
          <w:szCs w:val="20"/>
        </w:rPr>
      </w:pPr>
    </w:p>
    <w:p w:rsidR="003310FE" w:rsidRDefault="003310FE" w:rsidP="002126F4">
      <w:pPr>
        <w:spacing w:after="0"/>
        <w:jc w:val="both"/>
        <w:rPr>
          <w:rFonts w:ascii="Verdana" w:hAnsi="Verdana"/>
        </w:rPr>
      </w:pPr>
      <w:r>
        <w:rPr>
          <w:rFonts w:ascii="Verdana" w:hAnsi="Verdana"/>
        </w:rPr>
        <w:t>En cuanto a sus requisitos se precisó:</w:t>
      </w:r>
    </w:p>
    <w:p w:rsidR="003310FE" w:rsidRDefault="003310FE" w:rsidP="002126F4">
      <w:pPr>
        <w:spacing w:after="0"/>
        <w:jc w:val="both"/>
        <w:rPr>
          <w:rFonts w:ascii="Verdana" w:hAnsi="Verdana"/>
        </w:rPr>
      </w:pPr>
    </w:p>
    <w:p w:rsidR="003310FE" w:rsidRDefault="003310FE" w:rsidP="002126F4">
      <w:pPr>
        <w:spacing w:after="0"/>
        <w:ind w:left="705"/>
        <w:jc w:val="both"/>
        <w:rPr>
          <w:rFonts w:ascii="Verdana" w:hAnsi="Verdana"/>
          <w:sz w:val="20"/>
          <w:szCs w:val="20"/>
        </w:rPr>
      </w:pPr>
      <w:r w:rsidRPr="008326DA">
        <w:rPr>
          <w:rFonts w:ascii="Verdana" w:hAnsi="Verdana"/>
          <w:sz w:val="20"/>
          <w:szCs w:val="20"/>
        </w:rPr>
        <w:t xml:space="preserve">La conducencia exige dos requisitos: (i) que el medio respectivo esté en general autorizado y no prohibido expresa o tácitamente por la ley […] o que el juez lo considere lícito cuando goce de libertad para admitir los que considere revestidos de valor probatorio (existe prohibición tácita, cuando el medio o el procedimiento para obtenerlo esté reñido con la moral o viole derechos tutelados por la ley, como sucede con el tormento, el hipnotismo y el narcoanálisis para la consecución de confesiones o testimonios); (ii) que el medio solicitado o presentado, válido en general como instrumento de prueba, no esté prohibido en particular por la ley, para el hecho que con él se pretende probar, es decir, que no exista expresa prohibición legal para el caso concreto […] puede pensarse que existe también inconducencia cuando la ley exija para la demostración </w:t>
      </w:r>
      <w:r w:rsidR="008326DA" w:rsidRPr="008326DA">
        <w:rPr>
          <w:rFonts w:ascii="Verdana" w:hAnsi="Verdana"/>
          <w:sz w:val="20"/>
          <w:szCs w:val="20"/>
        </w:rPr>
        <w:t>de un hecho, un medio distinto (como escritura pública o documento privado), porque entonces existe una ineptitud legal implícita respecto de los demás medios (testimonial, por ejemplo), pero como esa sola exigencia no significa que esté prohibido llevar otros creemos que entonces se trata más bien de una posible inutilidad de la prueba.</w:t>
      </w:r>
      <w:r w:rsidR="008326DA">
        <w:rPr>
          <w:rStyle w:val="Refdenotaalpie"/>
          <w:rFonts w:ascii="Verdana" w:hAnsi="Verdana"/>
          <w:sz w:val="20"/>
          <w:szCs w:val="20"/>
        </w:rPr>
        <w:footnoteReference w:id="3"/>
      </w:r>
    </w:p>
    <w:p w:rsidR="00686CC2" w:rsidRDefault="00686CC2" w:rsidP="002126F4">
      <w:pPr>
        <w:spacing w:after="0"/>
        <w:jc w:val="both"/>
        <w:rPr>
          <w:rFonts w:ascii="Verdana" w:hAnsi="Verdana"/>
          <w:sz w:val="20"/>
          <w:szCs w:val="20"/>
        </w:rPr>
      </w:pPr>
    </w:p>
    <w:p w:rsidR="00865538" w:rsidRDefault="00865538" w:rsidP="002126F4">
      <w:pPr>
        <w:spacing w:after="0"/>
        <w:jc w:val="both"/>
        <w:rPr>
          <w:rFonts w:ascii="Verdana" w:hAnsi="Verdana"/>
        </w:rPr>
      </w:pPr>
    </w:p>
    <w:p w:rsidR="00865538" w:rsidRDefault="00865538" w:rsidP="002126F4">
      <w:pPr>
        <w:spacing w:after="0"/>
        <w:jc w:val="both"/>
        <w:rPr>
          <w:rFonts w:ascii="Verdana" w:hAnsi="Verdana"/>
        </w:rPr>
      </w:pPr>
      <w:r>
        <w:rPr>
          <w:rFonts w:ascii="Verdana" w:hAnsi="Verdana"/>
        </w:rPr>
        <w:t>La jurisprudencia coincide en este punto al precisar que: “la conducencia supone que la práctica de la prueba solicitada es permitida por la ley como elemento demostrativo de la materialidad de la conducta investigada o la responsabilidad del procesado.”</w:t>
      </w:r>
      <w:r>
        <w:rPr>
          <w:rStyle w:val="Refdenotaalpie"/>
          <w:rFonts w:ascii="Verdana" w:hAnsi="Verdana"/>
        </w:rPr>
        <w:footnoteReference w:id="4"/>
      </w:r>
    </w:p>
    <w:p w:rsidR="00865538" w:rsidRDefault="00865538" w:rsidP="002126F4">
      <w:pPr>
        <w:spacing w:after="0"/>
        <w:jc w:val="both"/>
        <w:rPr>
          <w:rFonts w:ascii="Verdana" w:hAnsi="Verdana"/>
        </w:rPr>
      </w:pPr>
    </w:p>
    <w:p w:rsidR="00686CC2" w:rsidRDefault="00686CC2" w:rsidP="002126F4">
      <w:pPr>
        <w:spacing w:after="0"/>
        <w:jc w:val="both"/>
        <w:rPr>
          <w:rFonts w:ascii="Verdana" w:hAnsi="Verdana"/>
        </w:rPr>
      </w:pPr>
      <w:r>
        <w:rPr>
          <w:rFonts w:ascii="Verdana" w:hAnsi="Verdana"/>
        </w:rPr>
        <w:t>Ahora bien, en torno a la pertinencia, nos dice la doctrina que: “[…] contempla la relevancia que el hecho por probar puede tener con el litigio o la materia del proceso voluntario o del incidente según el caso.”</w:t>
      </w:r>
      <w:r>
        <w:rPr>
          <w:rStyle w:val="Refdenotaalpie"/>
          <w:rFonts w:ascii="Verdana" w:hAnsi="Verdana"/>
        </w:rPr>
        <w:footnoteReference w:id="5"/>
      </w:r>
      <w:r w:rsidR="002126F4">
        <w:rPr>
          <w:rFonts w:ascii="Verdana" w:hAnsi="Verdana"/>
        </w:rPr>
        <w:t xml:space="preserve"> También se ha dicho que:</w:t>
      </w:r>
    </w:p>
    <w:p w:rsidR="002126F4" w:rsidRDefault="002126F4" w:rsidP="002126F4">
      <w:pPr>
        <w:spacing w:after="0"/>
        <w:jc w:val="both"/>
        <w:rPr>
          <w:rFonts w:ascii="Verdana" w:hAnsi="Verdana"/>
        </w:rPr>
      </w:pPr>
    </w:p>
    <w:p w:rsidR="002126F4" w:rsidRDefault="002126F4" w:rsidP="002126F4">
      <w:pPr>
        <w:spacing w:after="0"/>
        <w:ind w:left="705"/>
        <w:jc w:val="both"/>
        <w:rPr>
          <w:rFonts w:ascii="Verdana" w:hAnsi="Verdana"/>
          <w:sz w:val="20"/>
          <w:szCs w:val="20"/>
        </w:rPr>
      </w:pPr>
      <w:r w:rsidRPr="002126F4">
        <w:rPr>
          <w:rFonts w:ascii="Verdana" w:hAnsi="Verdana"/>
          <w:sz w:val="20"/>
          <w:szCs w:val="20"/>
        </w:rPr>
        <w:t>Es impertinente la prueba cuando se pretende probar un hecho que, aun demostrado, no sería de naturaleza para influir en la decisión del asunto, como si para demostrar la existencia de un fundo, o el lindero de la posesión, se pidiese la partida de matrimonio del demandado; o aun este otro, que ha dado lugar a discusiones: pretendiendo A que B lo calumnió en ocasión y forma determinada, quiere probar que también ha calumniado a otras personas; esta prueba sería impertinente, pues de que haya obrado así frente a terceros no se va a deducir que es responsable de esta infracción para con A.</w:t>
      </w:r>
      <w:r>
        <w:rPr>
          <w:rStyle w:val="Refdenotaalpie"/>
          <w:rFonts w:ascii="Verdana" w:hAnsi="Verdana"/>
          <w:sz w:val="20"/>
          <w:szCs w:val="20"/>
        </w:rPr>
        <w:footnoteReference w:id="6"/>
      </w:r>
      <w:r w:rsidRPr="002126F4">
        <w:rPr>
          <w:rFonts w:ascii="Verdana" w:hAnsi="Verdana"/>
          <w:sz w:val="20"/>
          <w:szCs w:val="20"/>
        </w:rPr>
        <w:t xml:space="preserve"> </w:t>
      </w:r>
      <w:r>
        <w:rPr>
          <w:rFonts w:ascii="Verdana" w:hAnsi="Verdana"/>
          <w:sz w:val="20"/>
          <w:szCs w:val="20"/>
        </w:rPr>
        <w:t>+</w:t>
      </w:r>
    </w:p>
    <w:p w:rsidR="002126F4" w:rsidRDefault="002126F4" w:rsidP="002126F4">
      <w:pPr>
        <w:spacing w:after="0"/>
        <w:ind w:left="705"/>
        <w:jc w:val="both"/>
        <w:rPr>
          <w:rFonts w:ascii="Verdana" w:hAnsi="Verdana"/>
          <w:sz w:val="20"/>
          <w:szCs w:val="20"/>
        </w:rPr>
      </w:pPr>
    </w:p>
    <w:p w:rsidR="002126F4" w:rsidRDefault="002126F4" w:rsidP="002126F4">
      <w:pPr>
        <w:pStyle w:val="Textoindependiente"/>
        <w:spacing w:line="276" w:lineRule="auto"/>
        <w:ind w:left="165" w:right="163"/>
        <w:jc w:val="both"/>
        <w:rPr>
          <w:rFonts w:ascii="Verdana" w:hAnsi="Verdana"/>
          <w:i/>
        </w:rPr>
      </w:pPr>
      <w:r w:rsidRPr="002126F4">
        <w:rPr>
          <w:rFonts w:ascii="Verdana" w:hAnsi="Verdana"/>
          <w:spacing w:val="-6"/>
          <w:w w:val="105"/>
        </w:rPr>
        <w:t xml:space="preserve">Por </w:t>
      </w:r>
      <w:r w:rsidRPr="002126F4">
        <w:rPr>
          <w:rFonts w:ascii="Verdana" w:hAnsi="Verdana"/>
          <w:w w:val="105"/>
        </w:rPr>
        <w:t xml:space="preserve">otro lado se sostiene que: “se entiende por pertinencia o relevancia de </w:t>
      </w:r>
      <w:r w:rsidRPr="002126F4">
        <w:rPr>
          <w:rFonts w:ascii="Verdana" w:hAnsi="Verdana"/>
          <w:spacing w:val="-6"/>
          <w:w w:val="105"/>
        </w:rPr>
        <w:t>la</w:t>
      </w:r>
      <w:r w:rsidRPr="002126F4">
        <w:rPr>
          <w:rFonts w:ascii="Verdana" w:hAnsi="Verdana"/>
          <w:spacing w:val="52"/>
          <w:w w:val="105"/>
        </w:rPr>
        <w:t xml:space="preserve"> </w:t>
      </w:r>
      <w:r w:rsidRPr="002126F4">
        <w:rPr>
          <w:rFonts w:ascii="Verdana" w:hAnsi="Verdana"/>
          <w:w w:val="105"/>
        </w:rPr>
        <w:t>prueba,</w:t>
      </w:r>
      <w:r w:rsidRPr="002126F4">
        <w:rPr>
          <w:rFonts w:ascii="Verdana" w:hAnsi="Verdana"/>
          <w:spacing w:val="-5"/>
          <w:w w:val="105"/>
        </w:rPr>
        <w:t xml:space="preserve"> </w:t>
      </w:r>
      <w:r w:rsidRPr="002126F4">
        <w:rPr>
          <w:rFonts w:ascii="Verdana" w:hAnsi="Verdana"/>
          <w:w w:val="105"/>
        </w:rPr>
        <w:t>‘la</w:t>
      </w:r>
      <w:r w:rsidRPr="002126F4">
        <w:rPr>
          <w:rFonts w:ascii="Verdana" w:hAnsi="Verdana"/>
          <w:spacing w:val="-4"/>
          <w:w w:val="105"/>
        </w:rPr>
        <w:t xml:space="preserve"> </w:t>
      </w:r>
      <w:r w:rsidRPr="002126F4">
        <w:rPr>
          <w:rFonts w:ascii="Verdana" w:hAnsi="Verdana"/>
          <w:w w:val="105"/>
        </w:rPr>
        <w:t>relación</w:t>
      </w:r>
      <w:r w:rsidRPr="002126F4">
        <w:rPr>
          <w:rFonts w:ascii="Verdana" w:hAnsi="Verdana"/>
          <w:spacing w:val="-4"/>
          <w:w w:val="105"/>
        </w:rPr>
        <w:t xml:space="preserve"> </w:t>
      </w:r>
      <w:r w:rsidRPr="002126F4">
        <w:rPr>
          <w:rFonts w:ascii="Verdana" w:hAnsi="Verdana"/>
          <w:w w:val="105"/>
        </w:rPr>
        <w:t>entre</w:t>
      </w:r>
      <w:r w:rsidRPr="002126F4">
        <w:rPr>
          <w:rFonts w:ascii="Verdana" w:hAnsi="Verdana"/>
          <w:spacing w:val="-4"/>
          <w:w w:val="105"/>
        </w:rPr>
        <w:t xml:space="preserve"> </w:t>
      </w:r>
      <w:r w:rsidRPr="002126F4">
        <w:rPr>
          <w:rFonts w:ascii="Verdana" w:hAnsi="Verdana"/>
          <w:w w:val="105"/>
        </w:rPr>
        <w:t>el</w:t>
      </w:r>
      <w:r w:rsidRPr="002126F4">
        <w:rPr>
          <w:rFonts w:ascii="Verdana" w:hAnsi="Verdana"/>
          <w:spacing w:val="-4"/>
          <w:w w:val="105"/>
        </w:rPr>
        <w:t xml:space="preserve"> </w:t>
      </w:r>
      <w:r w:rsidRPr="002126F4">
        <w:rPr>
          <w:rFonts w:ascii="Verdana" w:hAnsi="Verdana"/>
          <w:w w:val="105"/>
        </w:rPr>
        <w:t>hecho</w:t>
      </w:r>
      <w:r w:rsidRPr="002126F4">
        <w:rPr>
          <w:rFonts w:ascii="Verdana" w:hAnsi="Verdana"/>
          <w:spacing w:val="-5"/>
          <w:w w:val="105"/>
        </w:rPr>
        <w:t xml:space="preserve"> </w:t>
      </w:r>
      <w:r w:rsidRPr="002126F4">
        <w:rPr>
          <w:rFonts w:ascii="Verdana" w:hAnsi="Verdana"/>
          <w:w w:val="105"/>
        </w:rPr>
        <w:t>objeto</w:t>
      </w:r>
      <w:r w:rsidRPr="002126F4">
        <w:rPr>
          <w:rFonts w:ascii="Verdana" w:hAnsi="Verdana"/>
          <w:spacing w:val="-4"/>
          <w:w w:val="105"/>
        </w:rPr>
        <w:t xml:space="preserve"> </w:t>
      </w:r>
      <w:r w:rsidRPr="002126F4">
        <w:rPr>
          <w:rFonts w:ascii="Verdana" w:hAnsi="Verdana"/>
          <w:w w:val="105"/>
        </w:rPr>
        <w:t>de</w:t>
      </w:r>
      <w:r w:rsidRPr="002126F4">
        <w:rPr>
          <w:rFonts w:ascii="Verdana" w:hAnsi="Verdana"/>
          <w:spacing w:val="-4"/>
          <w:w w:val="105"/>
        </w:rPr>
        <w:t xml:space="preserve"> </w:t>
      </w:r>
      <w:r w:rsidRPr="002126F4">
        <w:rPr>
          <w:rFonts w:ascii="Verdana" w:hAnsi="Verdana"/>
          <w:w w:val="105"/>
        </w:rPr>
        <w:t>esta</w:t>
      </w:r>
      <w:r w:rsidRPr="002126F4">
        <w:rPr>
          <w:rFonts w:ascii="Verdana" w:hAnsi="Verdana"/>
          <w:spacing w:val="-4"/>
          <w:w w:val="105"/>
        </w:rPr>
        <w:t xml:space="preserve"> </w:t>
      </w:r>
      <w:r w:rsidRPr="002126F4">
        <w:rPr>
          <w:rFonts w:ascii="Verdana" w:hAnsi="Verdana"/>
          <w:w w:val="105"/>
        </w:rPr>
        <w:t>y</w:t>
      </w:r>
      <w:r w:rsidRPr="002126F4">
        <w:rPr>
          <w:rFonts w:ascii="Verdana" w:hAnsi="Verdana"/>
          <w:spacing w:val="-4"/>
          <w:w w:val="105"/>
        </w:rPr>
        <w:t xml:space="preserve"> </w:t>
      </w:r>
      <w:r w:rsidRPr="002126F4">
        <w:rPr>
          <w:rFonts w:ascii="Verdana" w:hAnsi="Verdana"/>
          <w:w w:val="105"/>
        </w:rPr>
        <w:t>los</w:t>
      </w:r>
      <w:r w:rsidRPr="002126F4">
        <w:rPr>
          <w:rFonts w:ascii="Verdana" w:hAnsi="Verdana"/>
          <w:spacing w:val="-5"/>
          <w:w w:val="105"/>
        </w:rPr>
        <w:t xml:space="preserve"> </w:t>
      </w:r>
      <w:r w:rsidRPr="002126F4">
        <w:rPr>
          <w:rFonts w:ascii="Verdana" w:hAnsi="Verdana"/>
          <w:w w:val="105"/>
        </w:rPr>
        <w:t>fundamentos</w:t>
      </w:r>
      <w:r w:rsidRPr="002126F4">
        <w:rPr>
          <w:rFonts w:ascii="Verdana" w:hAnsi="Verdana"/>
          <w:spacing w:val="-4"/>
          <w:w w:val="105"/>
        </w:rPr>
        <w:t xml:space="preserve"> </w:t>
      </w:r>
      <w:r w:rsidRPr="002126F4">
        <w:rPr>
          <w:rFonts w:ascii="Verdana" w:hAnsi="Verdana"/>
          <w:w w:val="105"/>
        </w:rPr>
        <w:t>de</w:t>
      </w:r>
      <w:r w:rsidRPr="002126F4">
        <w:rPr>
          <w:rFonts w:ascii="Verdana" w:hAnsi="Verdana"/>
          <w:spacing w:val="-4"/>
          <w:w w:val="105"/>
        </w:rPr>
        <w:t xml:space="preserve"> </w:t>
      </w:r>
      <w:r w:rsidRPr="002126F4">
        <w:rPr>
          <w:rFonts w:ascii="Verdana" w:hAnsi="Verdana"/>
          <w:w w:val="105"/>
        </w:rPr>
        <w:t>hecho</w:t>
      </w:r>
      <w:r w:rsidRPr="002126F4">
        <w:rPr>
          <w:rFonts w:ascii="Verdana" w:hAnsi="Verdana"/>
          <w:spacing w:val="-4"/>
          <w:w w:val="105"/>
        </w:rPr>
        <w:t xml:space="preserve"> </w:t>
      </w:r>
      <w:r w:rsidRPr="002126F4">
        <w:rPr>
          <w:rFonts w:ascii="Verdana" w:hAnsi="Verdana"/>
          <w:spacing w:val="-7"/>
          <w:w w:val="105"/>
        </w:rPr>
        <w:t xml:space="preserve">de </w:t>
      </w:r>
      <w:r w:rsidRPr="002126F4">
        <w:rPr>
          <w:rFonts w:ascii="Verdana" w:hAnsi="Verdana"/>
          <w:w w:val="105"/>
        </w:rPr>
        <w:t xml:space="preserve">la cuestión por decidir, que permite a aquel influir en la decisión’, sea de </w:t>
      </w:r>
      <w:r w:rsidRPr="002126F4">
        <w:rPr>
          <w:rFonts w:ascii="Verdana" w:hAnsi="Verdana"/>
          <w:spacing w:val="-5"/>
          <w:w w:val="105"/>
        </w:rPr>
        <w:t xml:space="preserve">las </w:t>
      </w:r>
      <w:r w:rsidRPr="002126F4">
        <w:rPr>
          <w:rFonts w:ascii="Verdana" w:hAnsi="Verdana"/>
          <w:w w:val="105"/>
        </w:rPr>
        <w:t xml:space="preserve">pretensiones o excepciones del proceso contencioso, de lo investigado </w:t>
      </w:r>
      <w:r w:rsidRPr="002126F4">
        <w:rPr>
          <w:rFonts w:ascii="Verdana" w:hAnsi="Verdana"/>
          <w:spacing w:val="-9"/>
          <w:w w:val="105"/>
        </w:rPr>
        <w:t xml:space="preserve">en </w:t>
      </w:r>
      <w:r w:rsidRPr="002126F4">
        <w:rPr>
          <w:rFonts w:ascii="Verdana" w:hAnsi="Verdana"/>
          <w:w w:val="105"/>
        </w:rPr>
        <w:t>materia penal, de las declaraciones pedidas en el voluntario, o de la cuestión</w:t>
      </w:r>
      <w:r w:rsidRPr="002126F4">
        <w:rPr>
          <w:rFonts w:ascii="Verdana" w:hAnsi="Verdana"/>
          <w:spacing w:val="64"/>
          <w:w w:val="105"/>
        </w:rPr>
        <w:t xml:space="preserve"> </w:t>
      </w:r>
      <w:r w:rsidRPr="002126F4">
        <w:rPr>
          <w:rFonts w:ascii="Verdana" w:hAnsi="Verdana"/>
          <w:w w:val="105"/>
        </w:rPr>
        <w:t xml:space="preserve">debatida en el incidente, según el caso. De esta noción resultan los principios </w:t>
      </w:r>
      <w:proofErr w:type="spellStart"/>
      <w:r w:rsidRPr="002126F4">
        <w:rPr>
          <w:rFonts w:ascii="Verdana" w:hAnsi="Verdana"/>
          <w:i/>
          <w:w w:val="105"/>
        </w:rPr>
        <w:t>inutile</w:t>
      </w:r>
      <w:proofErr w:type="spellEnd"/>
      <w:r w:rsidRPr="002126F4">
        <w:rPr>
          <w:rFonts w:ascii="Verdana" w:hAnsi="Verdana"/>
          <w:i/>
          <w:spacing w:val="-13"/>
          <w:w w:val="105"/>
        </w:rPr>
        <w:t xml:space="preserve"> </w:t>
      </w:r>
      <w:proofErr w:type="spellStart"/>
      <w:r w:rsidRPr="002126F4">
        <w:rPr>
          <w:rFonts w:ascii="Verdana" w:hAnsi="Verdana"/>
          <w:i/>
          <w:w w:val="105"/>
        </w:rPr>
        <w:t>est</w:t>
      </w:r>
      <w:proofErr w:type="spellEnd"/>
      <w:r w:rsidRPr="002126F4">
        <w:rPr>
          <w:rFonts w:ascii="Verdana" w:hAnsi="Verdana"/>
          <w:i/>
          <w:spacing w:val="-12"/>
          <w:w w:val="105"/>
        </w:rPr>
        <w:t xml:space="preserve"> </w:t>
      </w:r>
      <w:r w:rsidRPr="002126F4">
        <w:rPr>
          <w:rFonts w:ascii="Verdana" w:hAnsi="Verdana"/>
          <w:i/>
          <w:w w:val="105"/>
        </w:rPr>
        <w:t>probare</w:t>
      </w:r>
      <w:r w:rsidRPr="002126F4">
        <w:rPr>
          <w:rFonts w:ascii="Verdana" w:hAnsi="Verdana"/>
          <w:i/>
          <w:spacing w:val="-12"/>
          <w:w w:val="105"/>
        </w:rPr>
        <w:t xml:space="preserve"> </w:t>
      </w:r>
      <w:proofErr w:type="spellStart"/>
      <w:r w:rsidRPr="002126F4">
        <w:rPr>
          <w:rFonts w:ascii="Verdana" w:hAnsi="Verdana"/>
          <w:i/>
          <w:w w:val="105"/>
        </w:rPr>
        <w:t>quod</w:t>
      </w:r>
      <w:proofErr w:type="spellEnd"/>
      <w:r w:rsidRPr="002126F4">
        <w:rPr>
          <w:rFonts w:ascii="Verdana" w:hAnsi="Verdana"/>
          <w:i/>
          <w:spacing w:val="-12"/>
          <w:w w:val="105"/>
        </w:rPr>
        <w:t xml:space="preserve"> </w:t>
      </w:r>
      <w:proofErr w:type="spellStart"/>
      <w:r w:rsidRPr="002126F4">
        <w:rPr>
          <w:rFonts w:ascii="Verdana" w:hAnsi="Verdana"/>
          <w:i/>
          <w:w w:val="105"/>
        </w:rPr>
        <w:t>probatum</w:t>
      </w:r>
      <w:proofErr w:type="spellEnd"/>
      <w:r w:rsidRPr="002126F4">
        <w:rPr>
          <w:rFonts w:ascii="Verdana" w:hAnsi="Verdana"/>
          <w:i/>
          <w:spacing w:val="-12"/>
          <w:w w:val="105"/>
        </w:rPr>
        <w:t xml:space="preserve"> </w:t>
      </w:r>
      <w:r w:rsidRPr="002126F4">
        <w:rPr>
          <w:rFonts w:ascii="Verdana" w:hAnsi="Verdana"/>
          <w:i/>
          <w:w w:val="105"/>
        </w:rPr>
        <w:t>non</w:t>
      </w:r>
      <w:r w:rsidRPr="002126F4">
        <w:rPr>
          <w:rFonts w:ascii="Verdana" w:hAnsi="Verdana"/>
          <w:i/>
          <w:spacing w:val="-12"/>
          <w:w w:val="105"/>
        </w:rPr>
        <w:t xml:space="preserve"> </w:t>
      </w:r>
      <w:proofErr w:type="spellStart"/>
      <w:r w:rsidRPr="002126F4">
        <w:rPr>
          <w:rFonts w:ascii="Verdana" w:hAnsi="Verdana"/>
          <w:i/>
          <w:w w:val="105"/>
        </w:rPr>
        <w:t>relevat</w:t>
      </w:r>
      <w:proofErr w:type="spellEnd"/>
      <w:r w:rsidRPr="002126F4">
        <w:rPr>
          <w:rFonts w:ascii="Verdana" w:hAnsi="Verdana"/>
          <w:i/>
          <w:spacing w:val="-13"/>
          <w:w w:val="105"/>
        </w:rPr>
        <w:t xml:space="preserve"> </w:t>
      </w:r>
      <w:r w:rsidRPr="002126F4">
        <w:rPr>
          <w:rFonts w:ascii="Verdana" w:hAnsi="Verdana"/>
          <w:i/>
          <w:w w:val="105"/>
        </w:rPr>
        <w:t>y</w:t>
      </w:r>
      <w:r w:rsidRPr="002126F4">
        <w:rPr>
          <w:rFonts w:ascii="Verdana" w:hAnsi="Verdana"/>
          <w:i/>
          <w:spacing w:val="-12"/>
          <w:w w:val="105"/>
        </w:rPr>
        <w:t xml:space="preserve"> </w:t>
      </w:r>
      <w:proofErr w:type="spellStart"/>
      <w:r w:rsidRPr="002126F4">
        <w:rPr>
          <w:rFonts w:ascii="Verdana" w:hAnsi="Verdana"/>
          <w:i/>
          <w:w w:val="105"/>
        </w:rPr>
        <w:t>frusta</w:t>
      </w:r>
      <w:proofErr w:type="spellEnd"/>
      <w:r w:rsidRPr="002126F4">
        <w:rPr>
          <w:rFonts w:ascii="Verdana" w:hAnsi="Verdana"/>
          <w:i/>
          <w:spacing w:val="-12"/>
          <w:w w:val="105"/>
        </w:rPr>
        <w:t xml:space="preserve"> </w:t>
      </w:r>
      <w:proofErr w:type="spellStart"/>
      <w:r w:rsidRPr="002126F4">
        <w:rPr>
          <w:rFonts w:ascii="Verdana" w:hAnsi="Verdana"/>
          <w:i/>
          <w:w w:val="105"/>
        </w:rPr>
        <w:t>probatum</w:t>
      </w:r>
      <w:proofErr w:type="spellEnd"/>
      <w:r w:rsidRPr="002126F4">
        <w:rPr>
          <w:rFonts w:ascii="Verdana" w:hAnsi="Verdana"/>
          <w:i/>
          <w:spacing w:val="-12"/>
          <w:w w:val="105"/>
        </w:rPr>
        <w:t xml:space="preserve"> </w:t>
      </w:r>
      <w:r w:rsidRPr="002126F4">
        <w:rPr>
          <w:rFonts w:ascii="Verdana" w:hAnsi="Verdana"/>
          <w:i/>
          <w:w w:val="105"/>
        </w:rPr>
        <w:t>non</w:t>
      </w:r>
      <w:r w:rsidRPr="002126F4">
        <w:rPr>
          <w:rFonts w:ascii="Verdana" w:hAnsi="Verdana"/>
          <w:i/>
          <w:spacing w:val="-12"/>
          <w:w w:val="105"/>
        </w:rPr>
        <w:t xml:space="preserve"> </w:t>
      </w:r>
      <w:proofErr w:type="spellStart"/>
      <w:r w:rsidRPr="002126F4">
        <w:rPr>
          <w:rFonts w:ascii="Verdana" w:hAnsi="Verdana"/>
          <w:i/>
          <w:w w:val="105"/>
        </w:rPr>
        <w:t>relevat</w:t>
      </w:r>
      <w:proofErr w:type="spellEnd"/>
      <w:r w:rsidRPr="002126F4">
        <w:rPr>
          <w:rFonts w:ascii="Verdana" w:hAnsi="Verdana"/>
          <w:i/>
          <w:w w:val="105"/>
        </w:rPr>
        <w:t>”</w:t>
      </w:r>
      <w:r w:rsidR="00EB6136">
        <w:rPr>
          <w:rFonts w:ascii="Verdana" w:hAnsi="Verdana"/>
          <w:i/>
          <w:w w:val="105"/>
        </w:rPr>
        <w:t>.</w:t>
      </w:r>
      <w:r>
        <w:rPr>
          <w:rStyle w:val="Refdenotaalpie"/>
          <w:rFonts w:ascii="Verdana" w:hAnsi="Verdana"/>
          <w:i/>
          <w:w w:val="105"/>
        </w:rPr>
        <w:footnoteReference w:id="7"/>
      </w:r>
      <w:r w:rsidRPr="002126F4">
        <w:rPr>
          <w:rFonts w:ascii="Verdana" w:hAnsi="Verdana"/>
          <w:i/>
        </w:rPr>
        <w:t xml:space="preserve"> </w:t>
      </w:r>
    </w:p>
    <w:p w:rsidR="00865538" w:rsidRDefault="00865538" w:rsidP="002126F4">
      <w:pPr>
        <w:pStyle w:val="Textoindependiente"/>
        <w:spacing w:line="276" w:lineRule="auto"/>
        <w:ind w:left="165" w:right="163"/>
        <w:jc w:val="both"/>
        <w:rPr>
          <w:rFonts w:ascii="Verdana" w:hAnsi="Verdana"/>
          <w:i/>
        </w:rPr>
      </w:pPr>
    </w:p>
    <w:sectPr w:rsidR="0086553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56" w:rsidRDefault="002C4556" w:rsidP="003310FE">
      <w:pPr>
        <w:spacing w:after="0" w:line="240" w:lineRule="auto"/>
      </w:pPr>
      <w:r>
        <w:separator/>
      </w:r>
    </w:p>
  </w:endnote>
  <w:endnote w:type="continuationSeparator" w:id="0">
    <w:p w:rsidR="002C4556" w:rsidRDefault="002C4556" w:rsidP="0033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56" w:rsidRDefault="002C4556" w:rsidP="003310FE">
      <w:pPr>
        <w:spacing w:after="0" w:line="240" w:lineRule="auto"/>
      </w:pPr>
      <w:r>
        <w:separator/>
      </w:r>
    </w:p>
  </w:footnote>
  <w:footnote w:type="continuationSeparator" w:id="0">
    <w:p w:rsidR="002C4556" w:rsidRDefault="002C4556" w:rsidP="003310FE">
      <w:pPr>
        <w:spacing w:after="0" w:line="240" w:lineRule="auto"/>
      </w:pPr>
      <w:r>
        <w:continuationSeparator/>
      </w:r>
    </w:p>
  </w:footnote>
  <w:footnote w:id="1">
    <w:p w:rsidR="003310FE" w:rsidRPr="00865538" w:rsidRDefault="003310FE" w:rsidP="00865538">
      <w:pPr>
        <w:pStyle w:val="Textonotapie"/>
        <w:jc w:val="both"/>
        <w:rPr>
          <w:rFonts w:ascii="Verdana" w:hAnsi="Verdana"/>
          <w:sz w:val="18"/>
          <w:szCs w:val="18"/>
        </w:rPr>
      </w:pPr>
      <w:r w:rsidRPr="00865538">
        <w:rPr>
          <w:rStyle w:val="Refdenotaalpie"/>
          <w:rFonts w:ascii="Verdana" w:hAnsi="Verdana"/>
          <w:sz w:val="18"/>
          <w:szCs w:val="18"/>
        </w:rPr>
        <w:footnoteRef/>
      </w:r>
      <w:r w:rsidRPr="00865538">
        <w:rPr>
          <w:rFonts w:ascii="Verdana" w:hAnsi="Verdana"/>
          <w:sz w:val="18"/>
          <w:szCs w:val="18"/>
        </w:rPr>
        <w:t xml:space="preserve"> DEVIS ECHANDÍA. Hernando. </w:t>
      </w:r>
      <w:r w:rsidRPr="00865538">
        <w:rPr>
          <w:rFonts w:ascii="Verdana" w:hAnsi="Verdana"/>
          <w:i/>
          <w:sz w:val="18"/>
          <w:szCs w:val="18"/>
        </w:rPr>
        <w:t xml:space="preserve">Teoría General de la Prueba Judicial. </w:t>
      </w:r>
      <w:r w:rsidRPr="00865538">
        <w:rPr>
          <w:rFonts w:ascii="Verdana" w:hAnsi="Verdana"/>
          <w:sz w:val="18"/>
          <w:szCs w:val="18"/>
        </w:rPr>
        <w:t xml:space="preserve">Ed. Temis. 5ª edición. Bogotá. 2006. P. 324. </w:t>
      </w:r>
    </w:p>
  </w:footnote>
  <w:footnote w:id="2">
    <w:p w:rsidR="003310FE" w:rsidRPr="00865538" w:rsidRDefault="003310FE" w:rsidP="00865538">
      <w:pPr>
        <w:pStyle w:val="Textonotapie"/>
        <w:jc w:val="both"/>
        <w:rPr>
          <w:rFonts w:ascii="Verdana" w:hAnsi="Verdana"/>
          <w:sz w:val="18"/>
          <w:szCs w:val="18"/>
        </w:rPr>
      </w:pPr>
      <w:r w:rsidRPr="00865538">
        <w:rPr>
          <w:rStyle w:val="Refdenotaalpie"/>
          <w:rFonts w:ascii="Verdana" w:hAnsi="Verdana"/>
          <w:sz w:val="18"/>
          <w:szCs w:val="18"/>
        </w:rPr>
        <w:footnoteRef/>
      </w:r>
      <w:r w:rsidRPr="00865538">
        <w:rPr>
          <w:rFonts w:ascii="Verdana" w:hAnsi="Verdana"/>
          <w:sz w:val="18"/>
          <w:szCs w:val="18"/>
        </w:rPr>
        <w:t xml:space="preserve"> PARRA QUIJANO. Jairo. </w:t>
      </w:r>
      <w:r w:rsidRPr="00865538">
        <w:rPr>
          <w:rFonts w:ascii="Verdana" w:hAnsi="Verdana"/>
          <w:i/>
          <w:sz w:val="18"/>
          <w:szCs w:val="18"/>
        </w:rPr>
        <w:t xml:space="preserve">Manual de Derecho Probatorio. </w:t>
      </w:r>
      <w:r w:rsidRPr="00865538">
        <w:rPr>
          <w:rFonts w:ascii="Verdana" w:hAnsi="Verdana"/>
          <w:sz w:val="18"/>
          <w:szCs w:val="18"/>
        </w:rPr>
        <w:t xml:space="preserve">Ed. Librería del Profesional. 11ª edición. 2001. P. 109. </w:t>
      </w:r>
    </w:p>
  </w:footnote>
  <w:footnote w:id="3">
    <w:p w:rsidR="008326DA" w:rsidRPr="00865538" w:rsidRDefault="008326DA" w:rsidP="00865538">
      <w:pPr>
        <w:pStyle w:val="Textonotapie"/>
        <w:jc w:val="both"/>
        <w:rPr>
          <w:rFonts w:ascii="Verdana" w:hAnsi="Verdana"/>
          <w:sz w:val="18"/>
          <w:szCs w:val="18"/>
        </w:rPr>
      </w:pPr>
      <w:r w:rsidRPr="00865538">
        <w:rPr>
          <w:rStyle w:val="Refdenotaalpie"/>
          <w:rFonts w:ascii="Verdana" w:hAnsi="Verdana"/>
          <w:sz w:val="18"/>
          <w:szCs w:val="18"/>
        </w:rPr>
        <w:footnoteRef/>
      </w:r>
      <w:r w:rsidRPr="00865538">
        <w:rPr>
          <w:rFonts w:ascii="Verdana" w:hAnsi="Verdana"/>
          <w:sz w:val="18"/>
          <w:szCs w:val="18"/>
        </w:rPr>
        <w:t xml:space="preserve"> PARRA QUIJANO. Jairo. </w:t>
      </w:r>
      <w:r w:rsidRPr="00865538">
        <w:rPr>
          <w:rFonts w:ascii="Verdana" w:hAnsi="Verdana"/>
          <w:i/>
          <w:sz w:val="18"/>
          <w:szCs w:val="18"/>
        </w:rPr>
        <w:t xml:space="preserve">Manual de Derecho Probatorio. </w:t>
      </w:r>
      <w:r w:rsidRPr="00865538">
        <w:rPr>
          <w:rFonts w:ascii="Verdana" w:hAnsi="Verdana"/>
          <w:sz w:val="18"/>
          <w:szCs w:val="18"/>
        </w:rPr>
        <w:t xml:space="preserve">Ed. Librería del Profesional. 11ª edición. 2001. Pp. 321 y 322. </w:t>
      </w:r>
    </w:p>
  </w:footnote>
  <w:footnote w:id="4">
    <w:p w:rsidR="00865538" w:rsidRPr="00865538" w:rsidRDefault="00865538" w:rsidP="00865538">
      <w:pPr>
        <w:pStyle w:val="Textonotapie"/>
        <w:jc w:val="both"/>
        <w:rPr>
          <w:rFonts w:ascii="Verdana" w:hAnsi="Verdana"/>
          <w:sz w:val="18"/>
          <w:szCs w:val="18"/>
        </w:rPr>
      </w:pPr>
      <w:r w:rsidRPr="00865538">
        <w:rPr>
          <w:rStyle w:val="Refdenotaalpie"/>
          <w:rFonts w:ascii="Verdana" w:hAnsi="Verdana"/>
          <w:sz w:val="18"/>
          <w:szCs w:val="18"/>
        </w:rPr>
        <w:footnoteRef/>
      </w:r>
      <w:r w:rsidRPr="00865538">
        <w:rPr>
          <w:rFonts w:ascii="Verdana" w:hAnsi="Verdana"/>
          <w:sz w:val="18"/>
          <w:szCs w:val="18"/>
        </w:rPr>
        <w:t xml:space="preserve"> CORTE SUPREMA DE JUSTICIA. Sala de Casación Penal. Sentencia del 17 de junio de 2008. Rad. 37198. M.P. Julio Enrique </w:t>
      </w:r>
      <w:proofErr w:type="spellStart"/>
      <w:r w:rsidRPr="00865538">
        <w:rPr>
          <w:rFonts w:ascii="Verdana" w:hAnsi="Verdana"/>
          <w:sz w:val="18"/>
          <w:szCs w:val="18"/>
        </w:rPr>
        <w:t>Socha</w:t>
      </w:r>
      <w:proofErr w:type="spellEnd"/>
      <w:r w:rsidRPr="00865538">
        <w:rPr>
          <w:rFonts w:ascii="Verdana" w:hAnsi="Verdana"/>
          <w:sz w:val="18"/>
          <w:szCs w:val="18"/>
        </w:rPr>
        <w:t xml:space="preserve"> Salamanca. </w:t>
      </w:r>
    </w:p>
  </w:footnote>
  <w:footnote w:id="5">
    <w:p w:rsidR="00686CC2" w:rsidRPr="00865538" w:rsidRDefault="00686CC2" w:rsidP="00865538">
      <w:pPr>
        <w:pStyle w:val="Textonotapie"/>
        <w:jc w:val="both"/>
        <w:rPr>
          <w:rFonts w:ascii="Verdana" w:hAnsi="Verdana"/>
          <w:sz w:val="18"/>
          <w:szCs w:val="18"/>
        </w:rPr>
      </w:pPr>
      <w:r w:rsidRPr="00865538">
        <w:rPr>
          <w:rStyle w:val="Refdenotaalpie"/>
          <w:rFonts w:ascii="Verdana" w:hAnsi="Verdana"/>
          <w:sz w:val="18"/>
          <w:szCs w:val="18"/>
        </w:rPr>
        <w:footnoteRef/>
      </w:r>
      <w:r w:rsidRPr="00865538">
        <w:rPr>
          <w:rFonts w:ascii="Verdana" w:hAnsi="Verdana"/>
          <w:sz w:val="18"/>
          <w:szCs w:val="18"/>
        </w:rPr>
        <w:t xml:space="preserve"> PARRA QUIJANO. Jairo. </w:t>
      </w:r>
      <w:r w:rsidRPr="00865538">
        <w:rPr>
          <w:rFonts w:ascii="Verdana" w:hAnsi="Verdana"/>
          <w:i/>
          <w:sz w:val="18"/>
          <w:szCs w:val="18"/>
        </w:rPr>
        <w:t xml:space="preserve">Manual de Derecho Probatorio. </w:t>
      </w:r>
      <w:r w:rsidRPr="00865538">
        <w:rPr>
          <w:rFonts w:ascii="Verdana" w:hAnsi="Verdana"/>
          <w:sz w:val="18"/>
          <w:szCs w:val="18"/>
        </w:rPr>
        <w:t>Ed. Librería del Profesional. 11ª edición. 2001. P. 324.</w:t>
      </w:r>
    </w:p>
  </w:footnote>
  <w:footnote w:id="6">
    <w:p w:rsidR="002126F4" w:rsidRPr="00865538" w:rsidRDefault="002126F4" w:rsidP="00865538">
      <w:pPr>
        <w:pStyle w:val="Textonotapie"/>
        <w:jc w:val="both"/>
        <w:rPr>
          <w:rFonts w:ascii="Verdana" w:hAnsi="Verdana"/>
          <w:sz w:val="18"/>
          <w:szCs w:val="18"/>
        </w:rPr>
      </w:pPr>
      <w:r w:rsidRPr="00865538">
        <w:rPr>
          <w:rStyle w:val="Refdenotaalpie"/>
          <w:rFonts w:ascii="Verdana" w:hAnsi="Verdana"/>
          <w:sz w:val="18"/>
          <w:szCs w:val="18"/>
        </w:rPr>
        <w:footnoteRef/>
      </w:r>
      <w:r w:rsidRPr="00865538">
        <w:rPr>
          <w:rFonts w:ascii="Verdana" w:hAnsi="Verdana"/>
          <w:sz w:val="18"/>
          <w:szCs w:val="18"/>
        </w:rPr>
        <w:t xml:space="preserve"> ROCHA ALVIRA. Antonio. </w:t>
      </w:r>
      <w:r w:rsidRPr="00865538">
        <w:rPr>
          <w:rFonts w:ascii="Verdana" w:hAnsi="Verdana"/>
          <w:i/>
          <w:sz w:val="18"/>
          <w:szCs w:val="18"/>
        </w:rPr>
        <w:t xml:space="preserve">De la prueba en derecho. </w:t>
      </w:r>
      <w:r w:rsidRPr="00865538">
        <w:rPr>
          <w:rFonts w:ascii="Verdana" w:hAnsi="Verdana"/>
          <w:sz w:val="18"/>
          <w:szCs w:val="18"/>
        </w:rPr>
        <w:t xml:space="preserve">Ed. Ibáñez. P. 132. </w:t>
      </w:r>
    </w:p>
  </w:footnote>
  <w:footnote w:id="7">
    <w:p w:rsidR="002126F4" w:rsidRPr="00865538" w:rsidRDefault="002126F4" w:rsidP="00865538">
      <w:pPr>
        <w:pStyle w:val="Textonotapie"/>
        <w:jc w:val="both"/>
        <w:rPr>
          <w:rFonts w:ascii="Verdana" w:hAnsi="Verdana"/>
          <w:sz w:val="18"/>
          <w:szCs w:val="18"/>
        </w:rPr>
      </w:pPr>
      <w:r w:rsidRPr="00865538">
        <w:rPr>
          <w:rStyle w:val="Refdenotaalpie"/>
          <w:rFonts w:ascii="Verdana" w:hAnsi="Verdana"/>
          <w:sz w:val="18"/>
          <w:szCs w:val="18"/>
        </w:rPr>
        <w:footnoteRef/>
      </w:r>
      <w:r w:rsidRPr="00865538">
        <w:rPr>
          <w:rFonts w:ascii="Verdana" w:hAnsi="Verdana"/>
          <w:sz w:val="18"/>
          <w:szCs w:val="18"/>
        </w:rPr>
        <w:t xml:space="preserve"> ROCHA ALVIRA. Antonio. </w:t>
      </w:r>
      <w:r w:rsidRPr="00865538">
        <w:rPr>
          <w:rFonts w:ascii="Verdana" w:hAnsi="Verdana"/>
          <w:i/>
          <w:sz w:val="18"/>
          <w:szCs w:val="18"/>
        </w:rPr>
        <w:t xml:space="preserve">De la prueba en derecho. </w:t>
      </w:r>
      <w:r w:rsidRPr="00865538">
        <w:rPr>
          <w:rFonts w:ascii="Verdana" w:hAnsi="Verdana"/>
          <w:sz w:val="18"/>
          <w:szCs w:val="18"/>
        </w:rPr>
        <w:t xml:space="preserve">Ed. Ibáñez. P. 325.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50" w:rsidRDefault="00D84950">
    <w:pPr>
      <w:pStyle w:val="Encabezado"/>
    </w:pPr>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3362265</wp:posOffset>
              </wp:positionH>
              <wp:positionV relativeFrom="paragraph">
                <wp:posOffset>-255180</wp:posOffset>
              </wp:positionV>
              <wp:extent cx="2016000" cy="1403985"/>
              <wp:effectExtent l="0" t="0" r="381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1403985"/>
                      </a:xfrm>
                      <a:prstGeom prst="rect">
                        <a:avLst/>
                      </a:prstGeom>
                      <a:solidFill>
                        <a:srgbClr val="FFFFFF"/>
                      </a:solidFill>
                      <a:ln w="9525">
                        <a:noFill/>
                        <a:miter lim="800000"/>
                        <a:headEnd/>
                        <a:tailEnd/>
                      </a:ln>
                    </wps:spPr>
                    <wps:txbx>
                      <w:txbxContent>
                        <w:p w:rsidR="00D84950" w:rsidRDefault="00D84950" w:rsidP="00D84950">
                          <w:pPr>
                            <w:jc w:val="right"/>
                          </w:pPr>
                          <w:r>
                            <w:t>Boletín No. 1 - 2019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4.75pt;margin-top:-20.1pt;width:15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" stroked="f">
              <v:textbox style="mso-fit-shape-to-text:t">
                <w:txbxContent>
                  <w:p w:rsidR="00D84950" w:rsidRDefault="00D84950" w:rsidP="00D84950">
                    <w:pPr>
                      <w:jc w:val="right"/>
                    </w:pPr>
                    <w:r>
                      <w:t>Boletín No. 1 - 2019</w:t>
                    </w:r>
                  </w:p>
                </w:txbxContent>
              </v:textbox>
            </v:shape>
          </w:pict>
        </mc:Fallback>
      </mc:AlternateContent>
    </w:r>
    <w:r>
      <w:rPr>
        <w:rFonts w:ascii="Times New Roman" w:hAnsi="Times New Roman"/>
        <w:noProof/>
        <w:sz w:val="24"/>
        <w:szCs w:val="24"/>
        <w:lang w:eastAsia="es-CO"/>
      </w:rPr>
      <w:drawing>
        <wp:anchor distT="36576" distB="36576" distL="36576" distR="36576" simplePos="0" relativeHeight="251659264" behindDoc="0" locked="0" layoutInCell="1" allowOverlap="1" wp14:anchorId="633AA27E" wp14:editId="5B78A45F">
          <wp:simplePos x="0" y="0"/>
          <wp:positionH relativeFrom="column">
            <wp:posOffset>-475335</wp:posOffset>
          </wp:positionH>
          <wp:positionV relativeFrom="paragraph">
            <wp:posOffset>-370380</wp:posOffset>
          </wp:positionV>
          <wp:extent cx="2030400" cy="737459"/>
          <wp:effectExtent l="0" t="0" r="8255" b="5715"/>
          <wp:wrapNone/>
          <wp:docPr id="3" name="Imagen 3" descr="LOGO PERSONERI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SONERIA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512" cy="742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FE"/>
    <w:rsid w:val="002126F4"/>
    <w:rsid w:val="002C4556"/>
    <w:rsid w:val="003310FE"/>
    <w:rsid w:val="00686CC2"/>
    <w:rsid w:val="008326DA"/>
    <w:rsid w:val="0086364A"/>
    <w:rsid w:val="00865538"/>
    <w:rsid w:val="009B64CC"/>
    <w:rsid w:val="00AD11AC"/>
    <w:rsid w:val="00AF46D0"/>
    <w:rsid w:val="00C316CB"/>
    <w:rsid w:val="00C60431"/>
    <w:rsid w:val="00D84950"/>
    <w:rsid w:val="00E57963"/>
    <w:rsid w:val="00E80007"/>
    <w:rsid w:val="00EB6136"/>
    <w:rsid w:val="00EE7289"/>
    <w:rsid w:val="00FD7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31EB-5A82-4E69-BF91-D1768281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Valencia</dc:creator>
  <cp:lastModifiedBy>Maria Isabel Boada Espitia</cp:lastModifiedBy>
  <cp:revision>2</cp:revision>
  <dcterms:created xsi:type="dcterms:W3CDTF">2019-07-19T21:43:00Z</dcterms:created>
  <dcterms:modified xsi:type="dcterms:W3CDTF">2019-07-19T21:43:00Z</dcterms:modified>
</cp:coreProperties>
</file>