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80A" w:rsidRDefault="00EC480A" w:rsidP="00E41083">
      <w:pPr>
        <w:rPr>
          <w:lang w:val="es-CO"/>
        </w:rPr>
      </w:pPr>
      <w:bookmarkStart w:id="0" w:name="_GoBack"/>
      <w:bookmarkEnd w:id="0"/>
    </w:p>
    <w:p w:rsidR="00E41083" w:rsidRDefault="00E41083" w:rsidP="00E41083">
      <w:pPr>
        <w:rPr>
          <w:lang w:val="es-CO"/>
        </w:rPr>
      </w:pPr>
    </w:p>
    <w:p w:rsidR="00E41083" w:rsidRPr="00E41083" w:rsidRDefault="00E41083" w:rsidP="00E41083">
      <w:pPr>
        <w:pStyle w:val="Ttulo2"/>
        <w:spacing w:before="0" w:line="276" w:lineRule="auto"/>
        <w:ind w:left="0"/>
        <w:jc w:val="center"/>
        <w:rPr>
          <w:rFonts w:ascii="Wide Latin" w:hAnsi="Wide Latin"/>
          <w:sz w:val="32"/>
          <w:szCs w:val="32"/>
          <w:lang w:val="es-CO"/>
        </w:rPr>
      </w:pPr>
      <w:r w:rsidRPr="00E41083">
        <w:rPr>
          <w:rFonts w:ascii="Wide Latin" w:hAnsi="Wide Latin"/>
          <w:sz w:val="32"/>
          <w:szCs w:val="32"/>
          <w:lang w:val="es-CO"/>
        </w:rPr>
        <w:t>Prueba testimonial</w:t>
      </w:r>
    </w:p>
    <w:p w:rsidR="00E41083" w:rsidRDefault="00E41083" w:rsidP="00E41083">
      <w:pPr>
        <w:pStyle w:val="Ttulo2"/>
        <w:spacing w:before="0" w:line="276" w:lineRule="auto"/>
        <w:ind w:left="0"/>
        <w:jc w:val="center"/>
        <w:rPr>
          <w:lang w:val="es-CO"/>
        </w:rPr>
      </w:pPr>
    </w:p>
    <w:p w:rsidR="00E41083" w:rsidRPr="00E41083" w:rsidRDefault="00E41083" w:rsidP="00E41083">
      <w:pPr>
        <w:pStyle w:val="Ttulo2"/>
        <w:spacing w:before="0" w:line="276" w:lineRule="auto"/>
        <w:ind w:left="0"/>
        <w:jc w:val="center"/>
        <w:rPr>
          <w:lang w:val="es-CO"/>
        </w:rPr>
      </w:pPr>
    </w:p>
    <w:p w:rsidR="00E41083" w:rsidRDefault="00E41083" w:rsidP="00E41083">
      <w:pPr>
        <w:pStyle w:val="Textoindependiente"/>
        <w:spacing w:line="276" w:lineRule="auto"/>
        <w:ind w:left="164" w:right="162"/>
        <w:jc w:val="both"/>
      </w:pPr>
      <w:r>
        <w:rPr>
          <w:w w:val="105"/>
        </w:rPr>
        <w:t xml:space="preserve">Considerando la importancia de las pruebas dentro de toda clase de proceso. </w:t>
      </w:r>
      <w:r>
        <w:rPr>
          <w:spacing w:val="-8"/>
          <w:w w:val="105"/>
        </w:rPr>
        <w:t xml:space="preserve">Es </w:t>
      </w:r>
      <w:r>
        <w:rPr>
          <w:w w:val="105"/>
        </w:rPr>
        <w:t>preciso ocuparnos de forma breve de uno de los principales medios de prueba en el procedimiento disciplinario, cual es, el testimonio.</w:t>
      </w:r>
      <w:r>
        <w:t xml:space="preserve"> Para esos efectos, partiremos por hacer referencia a los desarrollos doctrinales sobre la materia y, acto seguido, se traerán a colación extractos jurisprudenciales. </w:t>
      </w:r>
    </w:p>
    <w:p w:rsidR="00E41083" w:rsidRDefault="00E41083" w:rsidP="00E41083">
      <w:pPr>
        <w:pStyle w:val="Textoindependiente"/>
        <w:spacing w:line="276" w:lineRule="auto"/>
        <w:ind w:left="164" w:right="162"/>
        <w:jc w:val="both"/>
      </w:pPr>
    </w:p>
    <w:p w:rsidR="00E41083" w:rsidRPr="00AA599D" w:rsidRDefault="00E41083" w:rsidP="00E41083">
      <w:pPr>
        <w:pStyle w:val="Textoindependiente"/>
        <w:numPr>
          <w:ilvl w:val="0"/>
          <w:numId w:val="5"/>
        </w:numPr>
        <w:spacing w:line="276" w:lineRule="auto"/>
        <w:ind w:right="162"/>
        <w:jc w:val="both"/>
        <w:rPr>
          <w:b/>
        </w:rPr>
      </w:pPr>
      <w:r>
        <w:rPr>
          <w:b/>
        </w:rPr>
        <w:t>Doctrina</w:t>
      </w:r>
    </w:p>
    <w:p w:rsidR="00E41083" w:rsidRDefault="00E41083" w:rsidP="00E41083">
      <w:pPr>
        <w:pStyle w:val="Textoindependiente"/>
        <w:spacing w:line="276" w:lineRule="auto"/>
        <w:ind w:left="164" w:right="162"/>
        <w:jc w:val="both"/>
        <w:rPr>
          <w:w w:val="105"/>
        </w:rPr>
      </w:pPr>
    </w:p>
    <w:p w:rsidR="00E41083" w:rsidRDefault="00E41083" w:rsidP="00E41083">
      <w:pPr>
        <w:pStyle w:val="Textoindependiente"/>
        <w:spacing w:line="276" w:lineRule="auto"/>
        <w:ind w:left="164" w:right="162"/>
        <w:jc w:val="both"/>
        <w:rPr>
          <w:w w:val="105"/>
        </w:rPr>
      </w:pPr>
      <w:r>
        <w:rPr>
          <w:w w:val="105"/>
        </w:rPr>
        <w:t>En</w:t>
      </w:r>
      <w:r>
        <w:rPr>
          <w:spacing w:val="-6"/>
          <w:w w:val="105"/>
        </w:rPr>
        <w:t xml:space="preserve"> </w:t>
      </w:r>
      <w:r>
        <w:rPr>
          <w:w w:val="105"/>
        </w:rPr>
        <w:t>primer</w:t>
      </w:r>
      <w:r>
        <w:rPr>
          <w:spacing w:val="-6"/>
          <w:w w:val="105"/>
        </w:rPr>
        <w:t xml:space="preserve"> </w:t>
      </w:r>
      <w:r>
        <w:rPr>
          <w:w w:val="105"/>
        </w:rPr>
        <w:t>lugar</w:t>
      </w:r>
      <w:r>
        <w:rPr>
          <w:spacing w:val="-6"/>
          <w:w w:val="105"/>
        </w:rPr>
        <w:t xml:space="preserve"> </w:t>
      </w:r>
      <w:r>
        <w:rPr>
          <w:w w:val="105"/>
        </w:rPr>
        <w:t>debemos</w:t>
      </w:r>
      <w:r>
        <w:rPr>
          <w:spacing w:val="-6"/>
          <w:w w:val="105"/>
        </w:rPr>
        <w:t xml:space="preserve"> </w:t>
      </w:r>
      <w:r>
        <w:rPr>
          <w:w w:val="105"/>
        </w:rPr>
        <w:t>a</w:t>
      </w:r>
      <w:r>
        <w:rPr>
          <w:spacing w:val="-6"/>
          <w:w w:val="105"/>
        </w:rPr>
        <w:t xml:space="preserve"> </w:t>
      </w:r>
      <w:r>
        <w:rPr>
          <w:w w:val="105"/>
        </w:rPr>
        <w:t>acercarnos</w:t>
      </w:r>
      <w:r>
        <w:rPr>
          <w:spacing w:val="-6"/>
          <w:w w:val="105"/>
        </w:rPr>
        <w:t xml:space="preserve"> </w:t>
      </w:r>
      <w:r>
        <w:rPr>
          <w:w w:val="105"/>
        </w:rPr>
        <w:t>al</w:t>
      </w:r>
      <w:r>
        <w:rPr>
          <w:spacing w:val="-6"/>
          <w:w w:val="105"/>
        </w:rPr>
        <w:t xml:space="preserve"> </w:t>
      </w:r>
      <w:r>
        <w:rPr>
          <w:w w:val="105"/>
        </w:rPr>
        <w:t>concepto</w:t>
      </w:r>
      <w:r>
        <w:rPr>
          <w:spacing w:val="-6"/>
          <w:w w:val="105"/>
        </w:rPr>
        <w:t xml:space="preserve"> </w:t>
      </w:r>
      <w:r>
        <w:rPr>
          <w:w w:val="105"/>
        </w:rPr>
        <w:t>de</w:t>
      </w:r>
      <w:r>
        <w:rPr>
          <w:spacing w:val="-6"/>
          <w:w w:val="105"/>
        </w:rPr>
        <w:t xml:space="preserve"> </w:t>
      </w:r>
      <w:r>
        <w:rPr>
          <w:w w:val="105"/>
        </w:rPr>
        <w:t>testigo,</w:t>
      </w:r>
      <w:r>
        <w:rPr>
          <w:spacing w:val="-5"/>
          <w:w w:val="105"/>
        </w:rPr>
        <w:t xml:space="preserve"> </w:t>
      </w:r>
      <w:r>
        <w:rPr>
          <w:w w:val="105"/>
        </w:rPr>
        <w:t>el</w:t>
      </w:r>
      <w:r>
        <w:rPr>
          <w:spacing w:val="-6"/>
          <w:w w:val="105"/>
        </w:rPr>
        <w:t xml:space="preserve"> </w:t>
      </w:r>
      <w:r>
        <w:rPr>
          <w:w w:val="105"/>
        </w:rPr>
        <w:t>cual</w:t>
      </w:r>
      <w:r>
        <w:rPr>
          <w:spacing w:val="-6"/>
          <w:w w:val="105"/>
        </w:rPr>
        <w:t xml:space="preserve"> </w:t>
      </w:r>
      <w:r>
        <w:rPr>
          <w:w w:val="105"/>
        </w:rPr>
        <w:t>es</w:t>
      </w:r>
      <w:r>
        <w:rPr>
          <w:spacing w:val="-6"/>
          <w:w w:val="105"/>
        </w:rPr>
        <w:t xml:space="preserve"> </w:t>
      </w:r>
      <w:r>
        <w:rPr>
          <w:w w:val="105"/>
        </w:rPr>
        <w:t>definido como:</w:t>
      </w:r>
    </w:p>
    <w:p w:rsidR="00E41083" w:rsidRDefault="00E41083" w:rsidP="00E41083">
      <w:pPr>
        <w:pStyle w:val="Textoindependiente"/>
        <w:spacing w:line="276" w:lineRule="auto"/>
        <w:ind w:left="164" w:right="162"/>
        <w:jc w:val="both"/>
        <w:rPr>
          <w:spacing w:val="-15"/>
          <w:w w:val="105"/>
        </w:rPr>
      </w:pPr>
    </w:p>
    <w:p w:rsidR="00E41083" w:rsidRPr="00D600E6" w:rsidRDefault="00E41083" w:rsidP="00E41083">
      <w:pPr>
        <w:pStyle w:val="Textoindependiente"/>
        <w:spacing w:line="276" w:lineRule="auto"/>
        <w:ind w:left="708" w:right="162"/>
        <w:jc w:val="both"/>
        <w:rPr>
          <w:w w:val="105"/>
          <w:sz w:val="20"/>
          <w:szCs w:val="20"/>
        </w:rPr>
      </w:pPr>
      <w:r w:rsidRPr="00D600E6">
        <w:rPr>
          <w:w w:val="105"/>
          <w:sz w:val="20"/>
          <w:szCs w:val="20"/>
        </w:rPr>
        <w:t>[…] la</w:t>
      </w:r>
      <w:r w:rsidRPr="00D600E6">
        <w:rPr>
          <w:spacing w:val="-14"/>
          <w:w w:val="105"/>
          <w:sz w:val="20"/>
          <w:szCs w:val="20"/>
        </w:rPr>
        <w:t xml:space="preserve"> </w:t>
      </w:r>
      <w:r w:rsidRPr="00D600E6">
        <w:rPr>
          <w:w w:val="105"/>
          <w:sz w:val="20"/>
          <w:szCs w:val="20"/>
        </w:rPr>
        <w:t>persona</w:t>
      </w:r>
      <w:r w:rsidRPr="00D600E6">
        <w:rPr>
          <w:spacing w:val="-14"/>
          <w:w w:val="105"/>
          <w:sz w:val="20"/>
          <w:szCs w:val="20"/>
        </w:rPr>
        <w:t xml:space="preserve"> </w:t>
      </w:r>
      <w:r w:rsidRPr="00D600E6">
        <w:rPr>
          <w:w w:val="105"/>
          <w:sz w:val="20"/>
          <w:szCs w:val="20"/>
        </w:rPr>
        <w:t>física</w:t>
      </w:r>
      <w:r w:rsidRPr="00D600E6">
        <w:rPr>
          <w:spacing w:val="-14"/>
          <w:w w:val="105"/>
          <w:sz w:val="20"/>
          <w:szCs w:val="20"/>
        </w:rPr>
        <w:t xml:space="preserve"> </w:t>
      </w:r>
      <w:r w:rsidRPr="00D600E6">
        <w:rPr>
          <w:w w:val="105"/>
          <w:sz w:val="20"/>
          <w:szCs w:val="20"/>
        </w:rPr>
        <w:t>citada</w:t>
      </w:r>
      <w:r w:rsidRPr="00D600E6">
        <w:rPr>
          <w:spacing w:val="-14"/>
          <w:w w:val="105"/>
          <w:sz w:val="20"/>
          <w:szCs w:val="20"/>
        </w:rPr>
        <w:t xml:space="preserve"> </w:t>
      </w:r>
      <w:r w:rsidRPr="00D600E6">
        <w:rPr>
          <w:w w:val="105"/>
          <w:sz w:val="20"/>
          <w:szCs w:val="20"/>
        </w:rPr>
        <w:t>o</w:t>
      </w:r>
      <w:r w:rsidRPr="00D600E6">
        <w:rPr>
          <w:spacing w:val="-14"/>
          <w:w w:val="105"/>
          <w:sz w:val="20"/>
          <w:szCs w:val="20"/>
        </w:rPr>
        <w:t xml:space="preserve"> </w:t>
      </w:r>
      <w:r w:rsidRPr="00D600E6">
        <w:rPr>
          <w:w w:val="105"/>
          <w:sz w:val="20"/>
          <w:szCs w:val="20"/>
        </w:rPr>
        <w:t>comparecida</w:t>
      </w:r>
      <w:r w:rsidRPr="00D600E6">
        <w:rPr>
          <w:spacing w:val="-14"/>
          <w:w w:val="105"/>
          <w:sz w:val="20"/>
          <w:szCs w:val="20"/>
        </w:rPr>
        <w:t xml:space="preserve"> </w:t>
      </w:r>
      <w:r w:rsidRPr="00D600E6">
        <w:rPr>
          <w:w w:val="105"/>
          <w:sz w:val="20"/>
          <w:szCs w:val="20"/>
        </w:rPr>
        <w:t>espontáneamente</w:t>
      </w:r>
      <w:r w:rsidRPr="00D600E6">
        <w:rPr>
          <w:spacing w:val="-14"/>
          <w:w w:val="105"/>
          <w:sz w:val="20"/>
          <w:szCs w:val="20"/>
        </w:rPr>
        <w:t xml:space="preserve"> </w:t>
      </w:r>
      <w:r w:rsidRPr="00D600E6">
        <w:rPr>
          <w:w w:val="105"/>
          <w:sz w:val="20"/>
          <w:szCs w:val="20"/>
        </w:rPr>
        <w:t>al</w:t>
      </w:r>
      <w:r w:rsidRPr="00D600E6">
        <w:rPr>
          <w:spacing w:val="-15"/>
          <w:w w:val="105"/>
          <w:sz w:val="20"/>
          <w:szCs w:val="20"/>
        </w:rPr>
        <w:t xml:space="preserve"> </w:t>
      </w:r>
      <w:r w:rsidRPr="00D600E6">
        <w:rPr>
          <w:w w:val="105"/>
          <w:sz w:val="20"/>
          <w:szCs w:val="20"/>
        </w:rPr>
        <w:t>proceso</w:t>
      </w:r>
      <w:r w:rsidRPr="00D600E6">
        <w:rPr>
          <w:spacing w:val="-14"/>
          <w:w w:val="105"/>
          <w:sz w:val="20"/>
          <w:szCs w:val="20"/>
        </w:rPr>
        <w:t xml:space="preserve"> </w:t>
      </w:r>
      <w:r w:rsidRPr="00D600E6">
        <w:rPr>
          <w:w w:val="105"/>
          <w:sz w:val="20"/>
          <w:szCs w:val="20"/>
        </w:rPr>
        <w:t>con</w:t>
      </w:r>
      <w:r w:rsidRPr="00D600E6">
        <w:rPr>
          <w:spacing w:val="-14"/>
          <w:w w:val="105"/>
          <w:sz w:val="20"/>
          <w:szCs w:val="20"/>
        </w:rPr>
        <w:t xml:space="preserve"> </w:t>
      </w:r>
      <w:r w:rsidRPr="00D600E6">
        <w:rPr>
          <w:spacing w:val="-8"/>
          <w:w w:val="105"/>
          <w:sz w:val="20"/>
          <w:szCs w:val="20"/>
        </w:rPr>
        <w:t xml:space="preserve">el </w:t>
      </w:r>
      <w:r w:rsidRPr="00D600E6">
        <w:rPr>
          <w:w w:val="105"/>
          <w:sz w:val="20"/>
          <w:szCs w:val="20"/>
        </w:rPr>
        <w:t xml:space="preserve">fin de transmitir con sus manifestaciones el conocimiento que tenga sobre </w:t>
      </w:r>
      <w:r w:rsidRPr="00D600E6">
        <w:rPr>
          <w:spacing w:val="-7"/>
          <w:w w:val="105"/>
          <w:sz w:val="20"/>
          <w:szCs w:val="20"/>
        </w:rPr>
        <w:t xml:space="preserve">un </w:t>
      </w:r>
      <w:r w:rsidRPr="00D600E6">
        <w:rPr>
          <w:w w:val="105"/>
          <w:sz w:val="20"/>
          <w:szCs w:val="20"/>
        </w:rPr>
        <w:t>hecho concreto, pasado y extraño al proceso, que ha percibido sensorialmente en</w:t>
      </w:r>
      <w:r w:rsidRPr="00D600E6">
        <w:rPr>
          <w:spacing w:val="-11"/>
          <w:w w:val="105"/>
          <w:sz w:val="20"/>
          <w:szCs w:val="20"/>
        </w:rPr>
        <w:t xml:space="preserve"> </w:t>
      </w:r>
      <w:r w:rsidRPr="00D600E6">
        <w:rPr>
          <w:w w:val="105"/>
          <w:sz w:val="20"/>
          <w:szCs w:val="20"/>
        </w:rPr>
        <w:t>forma</w:t>
      </w:r>
      <w:r w:rsidRPr="00D600E6">
        <w:rPr>
          <w:spacing w:val="-11"/>
          <w:w w:val="105"/>
          <w:sz w:val="20"/>
          <w:szCs w:val="20"/>
        </w:rPr>
        <w:t xml:space="preserve"> </w:t>
      </w:r>
      <w:r w:rsidRPr="00D600E6">
        <w:rPr>
          <w:w w:val="105"/>
          <w:sz w:val="20"/>
          <w:szCs w:val="20"/>
        </w:rPr>
        <w:t>directa</w:t>
      </w:r>
      <w:r w:rsidRPr="00D600E6">
        <w:rPr>
          <w:spacing w:val="-11"/>
          <w:w w:val="105"/>
          <w:sz w:val="20"/>
          <w:szCs w:val="20"/>
        </w:rPr>
        <w:t xml:space="preserve"> </w:t>
      </w:r>
      <w:r w:rsidRPr="00D600E6">
        <w:rPr>
          <w:w w:val="105"/>
          <w:sz w:val="20"/>
          <w:szCs w:val="20"/>
        </w:rPr>
        <w:t>y</w:t>
      </w:r>
      <w:r w:rsidRPr="00D600E6">
        <w:rPr>
          <w:spacing w:val="-11"/>
          <w:w w:val="105"/>
          <w:sz w:val="20"/>
          <w:szCs w:val="20"/>
        </w:rPr>
        <w:t xml:space="preserve"> </w:t>
      </w:r>
      <w:r w:rsidRPr="00D600E6">
        <w:rPr>
          <w:w w:val="105"/>
          <w:sz w:val="20"/>
          <w:szCs w:val="20"/>
        </w:rPr>
        <w:t>que</w:t>
      </w:r>
      <w:r w:rsidRPr="00D600E6">
        <w:rPr>
          <w:spacing w:val="-11"/>
          <w:w w:val="105"/>
          <w:sz w:val="20"/>
          <w:szCs w:val="20"/>
        </w:rPr>
        <w:t xml:space="preserve"> </w:t>
      </w:r>
      <w:r w:rsidRPr="00D600E6">
        <w:rPr>
          <w:w w:val="105"/>
          <w:sz w:val="20"/>
          <w:szCs w:val="20"/>
        </w:rPr>
        <w:t>resulta</w:t>
      </w:r>
      <w:r w:rsidRPr="00D600E6">
        <w:rPr>
          <w:spacing w:val="-10"/>
          <w:w w:val="105"/>
          <w:sz w:val="20"/>
          <w:szCs w:val="20"/>
        </w:rPr>
        <w:t xml:space="preserve"> </w:t>
      </w:r>
      <w:r w:rsidRPr="00D600E6">
        <w:rPr>
          <w:w w:val="105"/>
          <w:sz w:val="20"/>
          <w:szCs w:val="20"/>
        </w:rPr>
        <w:t>de</w:t>
      </w:r>
      <w:r w:rsidRPr="00D600E6">
        <w:rPr>
          <w:spacing w:val="-11"/>
          <w:w w:val="105"/>
          <w:sz w:val="20"/>
          <w:szCs w:val="20"/>
        </w:rPr>
        <w:t xml:space="preserve"> </w:t>
      </w:r>
      <w:r w:rsidRPr="00D600E6">
        <w:rPr>
          <w:w w:val="105"/>
          <w:sz w:val="20"/>
          <w:szCs w:val="20"/>
        </w:rPr>
        <w:t>interés</w:t>
      </w:r>
      <w:r w:rsidRPr="00D600E6">
        <w:rPr>
          <w:spacing w:val="-11"/>
          <w:w w:val="105"/>
          <w:sz w:val="20"/>
          <w:szCs w:val="20"/>
        </w:rPr>
        <w:t xml:space="preserve"> </w:t>
      </w:r>
      <w:r w:rsidRPr="00D600E6">
        <w:rPr>
          <w:w w:val="105"/>
          <w:sz w:val="20"/>
          <w:szCs w:val="20"/>
        </w:rPr>
        <w:t>probatorio</w:t>
      </w:r>
      <w:r w:rsidRPr="00D600E6">
        <w:rPr>
          <w:spacing w:val="-11"/>
          <w:w w:val="105"/>
          <w:sz w:val="20"/>
          <w:szCs w:val="20"/>
        </w:rPr>
        <w:t xml:space="preserve"> </w:t>
      </w:r>
      <w:r w:rsidRPr="00D600E6">
        <w:rPr>
          <w:w w:val="105"/>
          <w:sz w:val="20"/>
          <w:szCs w:val="20"/>
        </w:rPr>
        <w:t>en</w:t>
      </w:r>
      <w:r w:rsidRPr="00D600E6">
        <w:rPr>
          <w:spacing w:val="-11"/>
          <w:w w:val="105"/>
          <w:sz w:val="20"/>
          <w:szCs w:val="20"/>
        </w:rPr>
        <w:t xml:space="preserve"> </w:t>
      </w:r>
      <w:r w:rsidRPr="00D600E6">
        <w:rPr>
          <w:w w:val="105"/>
          <w:sz w:val="20"/>
          <w:szCs w:val="20"/>
        </w:rPr>
        <w:t>la</w:t>
      </w:r>
      <w:r w:rsidRPr="00D600E6">
        <w:rPr>
          <w:spacing w:val="-11"/>
          <w:w w:val="105"/>
          <w:sz w:val="20"/>
          <w:szCs w:val="20"/>
        </w:rPr>
        <w:t xml:space="preserve"> </w:t>
      </w:r>
      <w:r>
        <w:rPr>
          <w:w w:val="105"/>
          <w:sz w:val="20"/>
          <w:szCs w:val="20"/>
        </w:rPr>
        <w:t>causa.</w:t>
      </w:r>
      <w:r w:rsidRPr="00D600E6">
        <w:rPr>
          <w:rStyle w:val="Refdenotaalpie"/>
          <w:w w:val="105"/>
          <w:sz w:val="20"/>
          <w:szCs w:val="20"/>
        </w:rPr>
        <w:footnoteReference w:id="1"/>
      </w:r>
    </w:p>
    <w:p w:rsidR="00E41083" w:rsidRDefault="00E41083" w:rsidP="00E41083">
      <w:pPr>
        <w:pStyle w:val="Textoindependiente"/>
        <w:spacing w:line="276" w:lineRule="auto"/>
        <w:ind w:left="164" w:right="162"/>
        <w:jc w:val="both"/>
      </w:pPr>
    </w:p>
    <w:p w:rsidR="00E41083" w:rsidRDefault="00E41083" w:rsidP="00E41083">
      <w:pPr>
        <w:pStyle w:val="Textoindependiente"/>
        <w:spacing w:line="276" w:lineRule="auto"/>
        <w:ind w:left="164" w:right="157"/>
        <w:jc w:val="both"/>
        <w:rPr>
          <w:w w:val="105"/>
        </w:rPr>
      </w:pPr>
      <w:r>
        <w:rPr>
          <w:w w:val="105"/>
        </w:rPr>
        <w:t>Dicho esto, el testimonio como medio de prueba:</w:t>
      </w:r>
    </w:p>
    <w:p w:rsidR="00E41083" w:rsidRDefault="00E41083" w:rsidP="00E41083">
      <w:pPr>
        <w:pStyle w:val="Textoindependiente"/>
        <w:spacing w:line="276" w:lineRule="auto"/>
        <w:ind w:left="164" w:right="157"/>
        <w:jc w:val="both"/>
        <w:rPr>
          <w:w w:val="105"/>
        </w:rPr>
      </w:pPr>
    </w:p>
    <w:p w:rsidR="00E41083" w:rsidRPr="00D600E6" w:rsidRDefault="00E41083" w:rsidP="00E41083">
      <w:pPr>
        <w:pStyle w:val="Textoindependiente"/>
        <w:spacing w:line="276" w:lineRule="auto"/>
        <w:ind w:left="708" w:right="157"/>
        <w:jc w:val="both"/>
        <w:rPr>
          <w:sz w:val="20"/>
          <w:szCs w:val="20"/>
        </w:rPr>
      </w:pPr>
      <w:r w:rsidRPr="00D600E6">
        <w:rPr>
          <w:w w:val="105"/>
          <w:sz w:val="20"/>
          <w:szCs w:val="20"/>
        </w:rPr>
        <w:t>[…] consiste</w:t>
      </w:r>
      <w:r w:rsidRPr="00D600E6">
        <w:rPr>
          <w:spacing w:val="-11"/>
          <w:w w:val="105"/>
          <w:sz w:val="20"/>
          <w:szCs w:val="20"/>
        </w:rPr>
        <w:t xml:space="preserve"> </w:t>
      </w:r>
      <w:r w:rsidRPr="00D600E6">
        <w:rPr>
          <w:w w:val="105"/>
          <w:sz w:val="20"/>
          <w:szCs w:val="20"/>
        </w:rPr>
        <w:t>en</w:t>
      </w:r>
      <w:r w:rsidRPr="00D600E6">
        <w:rPr>
          <w:spacing w:val="-10"/>
          <w:w w:val="105"/>
          <w:sz w:val="20"/>
          <w:szCs w:val="20"/>
        </w:rPr>
        <w:t xml:space="preserve"> </w:t>
      </w:r>
      <w:r w:rsidRPr="00D600E6">
        <w:rPr>
          <w:w w:val="105"/>
          <w:sz w:val="20"/>
          <w:szCs w:val="20"/>
        </w:rPr>
        <w:t>la</w:t>
      </w:r>
      <w:r w:rsidRPr="00D600E6">
        <w:rPr>
          <w:spacing w:val="-10"/>
          <w:w w:val="105"/>
          <w:sz w:val="20"/>
          <w:szCs w:val="20"/>
        </w:rPr>
        <w:t xml:space="preserve"> </w:t>
      </w:r>
      <w:r w:rsidRPr="00D600E6">
        <w:rPr>
          <w:w w:val="105"/>
          <w:sz w:val="20"/>
          <w:szCs w:val="20"/>
        </w:rPr>
        <w:t>declaración representativa</w:t>
      </w:r>
      <w:r w:rsidRPr="00D600E6">
        <w:rPr>
          <w:spacing w:val="-5"/>
          <w:w w:val="105"/>
          <w:sz w:val="20"/>
          <w:szCs w:val="20"/>
        </w:rPr>
        <w:t xml:space="preserve"> </w:t>
      </w:r>
      <w:r w:rsidRPr="00D600E6">
        <w:rPr>
          <w:w w:val="105"/>
          <w:sz w:val="20"/>
          <w:szCs w:val="20"/>
        </w:rPr>
        <w:t>que</w:t>
      </w:r>
      <w:r w:rsidRPr="00D600E6">
        <w:rPr>
          <w:spacing w:val="-5"/>
          <w:w w:val="105"/>
          <w:sz w:val="20"/>
          <w:szCs w:val="20"/>
        </w:rPr>
        <w:t xml:space="preserve"> </w:t>
      </w:r>
      <w:r w:rsidRPr="00D600E6">
        <w:rPr>
          <w:w w:val="105"/>
          <w:sz w:val="20"/>
          <w:szCs w:val="20"/>
        </w:rPr>
        <w:t>una</w:t>
      </w:r>
      <w:r w:rsidRPr="00D600E6">
        <w:rPr>
          <w:spacing w:val="-6"/>
          <w:w w:val="105"/>
          <w:sz w:val="20"/>
          <w:szCs w:val="20"/>
        </w:rPr>
        <w:t xml:space="preserve"> </w:t>
      </w:r>
      <w:r w:rsidRPr="00D600E6">
        <w:rPr>
          <w:w w:val="105"/>
          <w:sz w:val="20"/>
          <w:szCs w:val="20"/>
        </w:rPr>
        <w:t>persona,</w:t>
      </w:r>
      <w:r w:rsidRPr="00D600E6">
        <w:rPr>
          <w:spacing w:val="-5"/>
          <w:w w:val="105"/>
          <w:sz w:val="20"/>
          <w:szCs w:val="20"/>
        </w:rPr>
        <w:t xml:space="preserve"> </w:t>
      </w:r>
      <w:r w:rsidRPr="00D600E6">
        <w:rPr>
          <w:w w:val="105"/>
          <w:sz w:val="20"/>
          <w:szCs w:val="20"/>
        </w:rPr>
        <w:t>que</w:t>
      </w:r>
      <w:r w:rsidRPr="00D600E6">
        <w:rPr>
          <w:spacing w:val="-5"/>
          <w:w w:val="105"/>
          <w:sz w:val="20"/>
          <w:szCs w:val="20"/>
        </w:rPr>
        <w:t xml:space="preserve"> </w:t>
      </w:r>
      <w:r w:rsidRPr="00D600E6">
        <w:rPr>
          <w:w w:val="105"/>
          <w:sz w:val="20"/>
          <w:szCs w:val="20"/>
        </w:rPr>
        <w:t>no</w:t>
      </w:r>
      <w:r w:rsidRPr="00D600E6">
        <w:rPr>
          <w:spacing w:val="-5"/>
          <w:w w:val="105"/>
          <w:sz w:val="20"/>
          <w:szCs w:val="20"/>
        </w:rPr>
        <w:t xml:space="preserve"> </w:t>
      </w:r>
      <w:r w:rsidRPr="00D600E6">
        <w:rPr>
          <w:w w:val="105"/>
          <w:sz w:val="20"/>
          <w:szCs w:val="20"/>
        </w:rPr>
        <w:t>es</w:t>
      </w:r>
      <w:r w:rsidRPr="00D600E6">
        <w:rPr>
          <w:spacing w:val="-5"/>
          <w:w w:val="105"/>
          <w:sz w:val="20"/>
          <w:szCs w:val="20"/>
        </w:rPr>
        <w:t xml:space="preserve"> </w:t>
      </w:r>
      <w:r w:rsidRPr="00D600E6">
        <w:rPr>
          <w:w w:val="105"/>
          <w:sz w:val="20"/>
          <w:szCs w:val="20"/>
        </w:rPr>
        <w:t>parte</w:t>
      </w:r>
      <w:r w:rsidRPr="00D600E6">
        <w:rPr>
          <w:spacing w:val="-5"/>
          <w:w w:val="105"/>
          <w:sz w:val="20"/>
          <w:szCs w:val="20"/>
        </w:rPr>
        <w:t xml:space="preserve"> </w:t>
      </w:r>
      <w:r w:rsidRPr="00D600E6">
        <w:rPr>
          <w:w w:val="105"/>
          <w:sz w:val="20"/>
          <w:szCs w:val="20"/>
        </w:rPr>
        <w:t>en</w:t>
      </w:r>
      <w:r w:rsidRPr="00D600E6">
        <w:rPr>
          <w:spacing w:val="-5"/>
          <w:w w:val="105"/>
          <w:sz w:val="20"/>
          <w:szCs w:val="20"/>
        </w:rPr>
        <w:t xml:space="preserve"> </w:t>
      </w:r>
      <w:r w:rsidRPr="00D600E6">
        <w:rPr>
          <w:w w:val="105"/>
          <w:sz w:val="20"/>
          <w:szCs w:val="20"/>
        </w:rPr>
        <w:t>el</w:t>
      </w:r>
      <w:r w:rsidRPr="00D600E6">
        <w:rPr>
          <w:spacing w:val="-5"/>
          <w:w w:val="105"/>
          <w:sz w:val="20"/>
          <w:szCs w:val="20"/>
        </w:rPr>
        <w:t xml:space="preserve"> </w:t>
      </w:r>
      <w:r w:rsidRPr="00D600E6">
        <w:rPr>
          <w:w w:val="105"/>
          <w:sz w:val="20"/>
          <w:szCs w:val="20"/>
        </w:rPr>
        <w:t>proceso</w:t>
      </w:r>
      <w:r w:rsidRPr="00D600E6">
        <w:rPr>
          <w:spacing w:val="-5"/>
          <w:w w:val="105"/>
          <w:sz w:val="20"/>
          <w:szCs w:val="20"/>
        </w:rPr>
        <w:t xml:space="preserve"> </w:t>
      </w:r>
      <w:r w:rsidRPr="00D600E6">
        <w:rPr>
          <w:w w:val="105"/>
          <w:sz w:val="20"/>
          <w:szCs w:val="20"/>
        </w:rPr>
        <w:t>en</w:t>
      </w:r>
      <w:r w:rsidRPr="00D600E6">
        <w:rPr>
          <w:spacing w:val="-5"/>
          <w:w w:val="105"/>
          <w:sz w:val="20"/>
          <w:szCs w:val="20"/>
        </w:rPr>
        <w:t xml:space="preserve"> </w:t>
      </w:r>
      <w:r w:rsidRPr="00D600E6">
        <w:rPr>
          <w:w w:val="105"/>
          <w:sz w:val="20"/>
          <w:szCs w:val="20"/>
        </w:rPr>
        <w:t>que</w:t>
      </w:r>
      <w:r w:rsidRPr="00D600E6">
        <w:rPr>
          <w:spacing w:val="-5"/>
          <w:w w:val="105"/>
          <w:sz w:val="20"/>
          <w:szCs w:val="20"/>
        </w:rPr>
        <w:t xml:space="preserve"> </w:t>
      </w:r>
      <w:r w:rsidRPr="00D600E6">
        <w:rPr>
          <w:w w:val="105"/>
          <w:sz w:val="20"/>
          <w:szCs w:val="20"/>
        </w:rPr>
        <w:t>se</w:t>
      </w:r>
      <w:r w:rsidRPr="00D600E6">
        <w:rPr>
          <w:spacing w:val="-5"/>
          <w:w w:val="105"/>
          <w:sz w:val="20"/>
          <w:szCs w:val="20"/>
        </w:rPr>
        <w:t xml:space="preserve"> </w:t>
      </w:r>
      <w:r w:rsidRPr="00D600E6">
        <w:rPr>
          <w:w w:val="105"/>
          <w:sz w:val="20"/>
          <w:szCs w:val="20"/>
        </w:rPr>
        <w:t xml:space="preserve">aduce, hace a un juez, con fines procesales, sobre lo que sabe respecto a un hecho de </w:t>
      </w:r>
      <w:r w:rsidRPr="00D600E6">
        <w:rPr>
          <w:spacing w:val="3"/>
          <w:w w:val="105"/>
          <w:sz w:val="20"/>
          <w:szCs w:val="20"/>
        </w:rPr>
        <w:t xml:space="preserve">cualquier naturaleza. </w:t>
      </w:r>
      <w:r w:rsidRPr="00D600E6">
        <w:rPr>
          <w:w w:val="105"/>
          <w:sz w:val="20"/>
          <w:szCs w:val="20"/>
        </w:rPr>
        <w:t xml:space="preserve">En </w:t>
      </w:r>
      <w:r w:rsidRPr="00D600E6">
        <w:rPr>
          <w:spacing w:val="3"/>
          <w:w w:val="105"/>
          <w:sz w:val="20"/>
          <w:szCs w:val="20"/>
        </w:rPr>
        <w:t xml:space="preserve">sentido amplio, </w:t>
      </w:r>
      <w:r>
        <w:rPr>
          <w:w w:val="105"/>
          <w:sz w:val="20"/>
          <w:szCs w:val="20"/>
        </w:rPr>
        <w:t>el</w:t>
      </w:r>
      <w:r w:rsidRPr="00D600E6">
        <w:rPr>
          <w:w w:val="105"/>
          <w:sz w:val="20"/>
          <w:szCs w:val="20"/>
        </w:rPr>
        <w:t xml:space="preserve"> </w:t>
      </w:r>
      <w:r w:rsidRPr="00D600E6">
        <w:rPr>
          <w:spacing w:val="3"/>
          <w:w w:val="105"/>
          <w:sz w:val="20"/>
          <w:szCs w:val="20"/>
        </w:rPr>
        <w:t xml:space="preserve">testimonio también </w:t>
      </w:r>
      <w:r w:rsidRPr="00D600E6">
        <w:rPr>
          <w:w w:val="105"/>
          <w:sz w:val="20"/>
          <w:szCs w:val="20"/>
        </w:rPr>
        <w:t xml:space="preserve">es </w:t>
      </w:r>
      <w:r w:rsidRPr="00D600E6">
        <w:rPr>
          <w:spacing w:val="4"/>
          <w:w w:val="105"/>
          <w:sz w:val="20"/>
          <w:szCs w:val="20"/>
        </w:rPr>
        <w:t xml:space="preserve">una </w:t>
      </w:r>
      <w:r w:rsidRPr="00D600E6">
        <w:rPr>
          <w:w w:val="105"/>
          <w:sz w:val="20"/>
          <w:szCs w:val="20"/>
        </w:rPr>
        <w:t>declaración, cuando proviene de quien es parte en el proceso en que se aduce como prueba, siempre que no perjudique su situación jurídica en ese proceso, porque entonces sería confesión […]</w:t>
      </w:r>
      <w:r>
        <w:rPr>
          <w:rStyle w:val="Refdenotaalpie"/>
          <w:w w:val="105"/>
          <w:sz w:val="20"/>
          <w:szCs w:val="20"/>
        </w:rPr>
        <w:footnoteReference w:id="2"/>
      </w:r>
    </w:p>
    <w:p w:rsidR="00E41083" w:rsidRDefault="00E41083" w:rsidP="00E41083">
      <w:pPr>
        <w:pStyle w:val="Textoindependiente"/>
        <w:spacing w:line="276" w:lineRule="auto"/>
        <w:ind w:left="164" w:right="162"/>
        <w:jc w:val="both"/>
        <w:rPr>
          <w:w w:val="105"/>
        </w:rPr>
      </w:pPr>
    </w:p>
    <w:p w:rsidR="00E41083" w:rsidRDefault="00E41083" w:rsidP="00E41083">
      <w:pPr>
        <w:pStyle w:val="Textoindependiente"/>
        <w:spacing w:line="276" w:lineRule="auto"/>
        <w:ind w:left="164" w:right="162"/>
        <w:jc w:val="both"/>
        <w:rPr>
          <w:w w:val="105"/>
        </w:rPr>
      </w:pPr>
      <w:r>
        <w:rPr>
          <w:w w:val="105"/>
        </w:rPr>
        <w:t xml:space="preserve">Respecto al deber de rendir testimonio, existen opiniones doctrinales como la siguiente: </w:t>
      </w:r>
    </w:p>
    <w:p w:rsidR="00E41083" w:rsidRDefault="00E41083" w:rsidP="00E41083">
      <w:pPr>
        <w:pStyle w:val="Textoindependiente"/>
        <w:spacing w:line="276" w:lineRule="auto"/>
        <w:ind w:left="164" w:right="162"/>
        <w:jc w:val="both"/>
        <w:rPr>
          <w:w w:val="105"/>
        </w:rPr>
      </w:pPr>
    </w:p>
    <w:p w:rsidR="00E41083" w:rsidRPr="00C6113B" w:rsidRDefault="00E41083" w:rsidP="00E41083">
      <w:pPr>
        <w:pStyle w:val="Textoindependiente"/>
        <w:spacing w:line="276" w:lineRule="auto"/>
        <w:ind w:left="708" w:right="162"/>
        <w:jc w:val="both"/>
        <w:rPr>
          <w:sz w:val="20"/>
          <w:szCs w:val="20"/>
        </w:rPr>
      </w:pPr>
      <w:r w:rsidRPr="00C6113B">
        <w:rPr>
          <w:w w:val="105"/>
          <w:sz w:val="20"/>
          <w:szCs w:val="20"/>
        </w:rPr>
        <w:t xml:space="preserve">Existe un deber para con el Estado de rendir testimonio sobre el conocimiento que se tenga de los hechos que interesen a cualquier proceso, sin que haya razones valederas para limitarlos al penal […] su cumplimiento lo exige el Estado como medio necesario para el ejercicio de su función jurisdiccional. Creemos que no hay razón para considerarlo de distinta naturaleza en el proceso civil, laboral o de otra jurisdicción; todo proceso persigue un fin de interés público, cualquiera que sea su clase, ya que permite la realización del derecho, la paz y la armonía sociales; por consiguiente, el deber de prestar la colaboración personal como testigo, para la </w:t>
      </w:r>
      <w:r w:rsidRPr="00C6113B">
        <w:rPr>
          <w:w w:val="105"/>
          <w:sz w:val="20"/>
          <w:szCs w:val="20"/>
        </w:rPr>
        <w:lastRenderedPageBreak/>
        <w:t>adecuada obtención de aquel fin, tiene que ser el mismo en todos los procesos.</w:t>
      </w:r>
      <w:r>
        <w:rPr>
          <w:rStyle w:val="Refdenotaalpie"/>
          <w:w w:val="105"/>
          <w:sz w:val="20"/>
          <w:szCs w:val="20"/>
        </w:rPr>
        <w:footnoteReference w:id="3"/>
      </w:r>
      <w:r w:rsidRPr="00C6113B">
        <w:rPr>
          <w:w w:val="105"/>
          <w:sz w:val="20"/>
          <w:szCs w:val="20"/>
        </w:rPr>
        <w:t xml:space="preserve"> </w:t>
      </w:r>
    </w:p>
    <w:p w:rsidR="00E41083" w:rsidRDefault="00E41083" w:rsidP="00E41083"/>
    <w:p w:rsidR="00E41083" w:rsidRDefault="00E41083" w:rsidP="00E41083">
      <w:pPr>
        <w:rPr>
          <w:rFonts w:ascii="Verdana" w:hAnsi="Verdana"/>
        </w:rPr>
      </w:pPr>
      <w:r>
        <w:rPr>
          <w:rFonts w:ascii="Verdana" w:hAnsi="Verdana"/>
        </w:rPr>
        <w:t xml:space="preserve">Sin perjuicio de lo anterior, existen excepciones en las cuales el testigo puede negarse a declarar. Ello puede ocurrir en distintos escenarios como lo reseña el maestro </w:t>
      </w:r>
      <w:proofErr w:type="spellStart"/>
      <w:r>
        <w:rPr>
          <w:rFonts w:ascii="Verdana" w:hAnsi="Verdana"/>
        </w:rPr>
        <w:t>Devis</w:t>
      </w:r>
      <w:proofErr w:type="spellEnd"/>
      <w:r>
        <w:rPr>
          <w:rFonts w:ascii="Verdana" w:hAnsi="Verdana"/>
        </w:rPr>
        <w:t xml:space="preserve"> </w:t>
      </w:r>
      <w:proofErr w:type="spellStart"/>
      <w:r>
        <w:rPr>
          <w:rFonts w:ascii="Verdana" w:hAnsi="Verdana"/>
        </w:rPr>
        <w:t>Echandía</w:t>
      </w:r>
      <w:proofErr w:type="spellEnd"/>
      <w:r>
        <w:rPr>
          <w:rFonts w:ascii="Verdana" w:hAnsi="Verdana"/>
        </w:rPr>
        <w:t>:</w:t>
      </w:r>
    </w:p>
    <w:p w:rsidR="00E41083" w:rsidRDefault="00E41083" w:rsidP="00E41083">
      <w:pPr>
        <w:rPr>
          <w:rFonts w:ascii="Verdana" w:hAnsi="Verdana"/>
        </w:rPr>
      </w:pPr>
    </w:p>
    <w:p w:rsidR="00E41083" w:rsidRDefault="00E41083" w:rsidP="00E41083">
      <w:pPr>
        <w:ind w:left="708"/>
        <w:jc w:val="both"/>
        <w:rPr>
          <w:rFonts w:ascii="Verdana" w:hAnsi="Verdana"/>
          <w:sz w:val="20"/>
          <w:szCs w:val="20"/>
        </w:rPr>
      </w:pPr>
      <w:r w:rsidRPr="00896267">
        <w:rPr>
          <w:rFonts w:ascii="Verdana" w:hAnsi="Verdana"/>
          <w:sz w:val="20"/>
          <w:szCs w:val="20"/>
        </w:rPr>
        <w:t>a) Por la dignidad del cargo; b) por enfermedad o impedimento físico; c) por el lugar de residencia del testigo; d) por incapacidad; e) por el carácter perjudicial de la declaración para quien la hace o para ciertos parientes suyos; f) por razón del secreto profesional.</w:t>
      </w:r>
      <w:r>
        <w:rPr>
          <w:rStyle w:val="Refdenotaalpie"/>
          <w:rFonts w:ascii="Verdana" w:hAnsi="Verdana"/>
          <w:sz w:val="20"/>
          <w:szCs w:val="20"/>
        </w:rPr>
        <w:footnoteReference w:id="4"/>
      </w:r>
      <w:r w:rsidRPr="00896267">
        <w:rPr>
          <w:rFonts w:ascii="Verdana" w:hAnsi="Verdana"/>
          <w:sz w:val="20"/>
          <w:szCs w:val="20"/>
        </w:rPr>
        <w:t xml:space="preserve"> </w:t>
      </w:r>
    </w:p>
    <w:p w:rsidR="00E41083" w:rsidRDefault="00E41083" w:rsidP="00E41083">
      <w:pPr>
        <w:jc w:val="both"/>
        <w:rPr>
          <w:rFonts w:ascii="Verdana" w:hAnsi="Verdana"/>
          <w:sz w:val="20"/>
          <w:szCs w:val="20"/>
        </w:rPr>
      </w:pPr>
    </w:p>
    <w:p w:rsidR="00E41083" w:rsidRDefault="00E41083" w:rsidP="00E41083">
      <w:pPr>
        <w:jc w:val="both"/>
        <w:rPr>
          <w:rFonts w:ascii="Verdana" w:hAnsi="Verdana"/>
        </w:rPr>
      </w:pPr>
      <w:r>
        <w:rPr>
          <w:rFonts w:ascii="Verdana" w:hAnsi="Verdana"/>
        </w:rPr>
        <w:t xml:space="preserve">Por otro lado, en lo que tiene que ver con el objeto de la prueba testimonial: </w:t>
      </w:r>
    </w:p>
    <w:p w:rsidR="00E41083" w:rsidRDefault="00E41083" w:rsidP="00E41083">
      <w:pPr>
        <w:jc w:val="both"/>
        <w:rPr>
          <w:rFonts w:ascii="Verdana" w:hAnsi="Verdana"/>
        </w:rPr>
      </w:pPr>
    </w:p>
    <w:p w:rsidR="00E41083" w:rsidRDefault="00E41083" w:rsidP="00E41083">
      <w:pPr>
        <w:ind w:left="705"/>
        <w:jc w:val="both"/>
        <w:rPr>
          <w:rFonts w:ascii="Verdana" w:hAnsi="Verdana"/>
          <w:sz w:val="20"/>
          <w:szCs w:val="20"/>
        </w:rPr>
      </w:pPr>
      <w:r w:rsidRPr="00BC52D9">
        <w:rPr>
          <w:rFonts w:ascii="Verdana" w:hAnsi="Verdana"/>
          <w:sz w:val="20"/>
          <w:szCs w:val="20"/>
        </w:rPr>
        <w:t>[…] pueden ser tanto los hechos transitorios como los permanentes: los primeros pueden haber desaparecido o no, haberse extinguido o subsistir, cuando se rinde el testimonio, y los segundos existirán siempre en este momento; pero unos y otros deben haberse originado antes […] En la noción de hechos se incluyen todos los que en general pueden ser objeto de prueba, a saber: conductas humanas, hechos de la naturaleza, cosas u objetos materiales y aspectos de la realidad material, la persona física humana, estados o hechos psíquicos o internos del hombre, los animales y los juicios que sobre tales hechos tenga el testigo, incluyendo los jurídicos, pues no es posible separar radicalmente las cuestiones de hechos y las de derecho, frente a la prueba judicial, como tampoco los hechos y los juicios que sobre ellos se tenga.</w:t>
      </w:r>
      <w:r>
        <w:rPr>
          <w:rStyle w:val="Refdenotaalpie"/>
          <w:rFonts w:ascii="Verdana" w:hAnsi="Verdana"/>
          <w:sz w:val="20"/>
          <w:szCs w:val="20"/>
        </w:rPr>
        <w:footnoteReference w:id="5"/>
      </w:r>
      <w:r w:rsidRPr="00BC52D9">
        <w:rPr>
          <w:rFonts w:ascii="Verdana" w:hAnsi="Verdana"/>
          <w:sz w:val="20"/>
          <w:szCs w:val="20"/>
        </w:rPr>
        <w:t xml:space="preserve"> </w:t>
      </w:r>
    </w:p>
    <w:p w:rsidR="00E41083" w:rsidRDefault="00E41083" w:rsidP="00E41083">
      <w:pPr>
        <w:jc w:val="both"/>
        <w:rPr>
          <w:rFonts w:ascii="Verdana" w:hAnsi="Verdana"/>
          <w:sz w:val="20"/>
          <w:szCs w:val="20"/>
        </w:rPr>
      </w:pPr>
    </w:p>
    <w:p w:rsidR="00E41083" w:rsidRDefault="00E41083" w:rsidP="00E41083">
      <w:pPr>
        <w:jc w:val="both"/>
        <w:rPr>
          <w:rFonts w:ascii="Verdana" w:hAnsi="Verdana"/>
        </w:rPr>
      </w:pPr>
      <w:r>
        <w:rPr>
          <w:rFonts w:ascii="Verdana" w:hAnsi="Verdana"/>
        </w:rPr>
        <w:t>Ahora, sobre los requisitos para la efectividad probatoria del testimonio, dijo lo siguiente:</w:t>
      </w:r>
    </w:p>
    <w:p w:rsidR="00E41083" w:rsidRDefault="00E41083" w:rsidP="00E41083">
      <w:pPr>
        <w:jc w:val="both"/>
        <w:rPr>
          <w:rFonts w:ascii="Verdana" w:hAnsi="Verdana"/>
        </w:rPr>
      </w:pPr>
    </w:p>
    <w:p w:rsidR="00E41083" w:rsidRPr="00424F06" w:rsidRDefault="00E41083" w:rsidP="00E41083">
      <w:pPr>
        <w:pStyle w:val="Prrafodelista"/>
        <w:tabs>
          <w:tab w:val="left" w:pos="419"/>
        </w:tabs>
        <w:ind w:left="708" w:right="162"/>
        <w:contextualSpacing w:val="0"/>
        <w:jc w:val="both"/>
        <w:rPr>
          <w:rFonts w:ascii="Verdana" w:hAnsi="Verdana"/>
          <w:sz w:val="20"/>
          <w:szCs w:val="20"/>
        </w:rPr>
      </w:pPr>
      <w:r w:rsidRPr="00424F06">
        <w:rPr>
          <w:rFonts w:ascii="Verdana" w:hAnsi="Verdana"/>
          <w:sz w:val="20"/>
          <w:szCs w:val="20"/>
        </w:rPr>
        <w:t xml:space="preserve">a) </w:t>
      </w:r>
      <w:r w:rsidRPr="00424F06">
        <w:rPr>
          <w:rFonts w:ascii="Verdana" w:hAnsi="Verdana"/>
          <w:w w:val="105"/>
          <w:sz w:val="20"/>
          <w:szCs w:val="20"/>
        </w:rPr>
        <w:t>La conducencia del medio; b) La pertinencia del hecho objeto del testimonio; c)</w:t>
      </w:r>
      <w:r>
        <w:rPr>
          <w:rFonts w:ascii="Verdana" w:hAnsi="Verdana"/>
          <w:w w:val="105"/>
          <w:sz w:val="20"/>
          <w:szCs w:val="20"/>
        </w:rPr>
        <w:t xml:space="preserve"> </w:t>
      </w:r>
      <w:r w:rsidRPr="00424F06">
        <w:rPr>
          <w:rFonts w:ascii="Verdana" w:hAnsi="Verdana"/>
          <w:w w:val="105"/>
          <w:sz w:val="20"/>
          <w:szCs w:val="20"/>
        </w:rPr>
        <w:t xml:space="preserve">La utilidad del testimonio; d) Capacidad mental en el momento de la percepción de los hechos sobre los cuales versa el testimonio; e) Ausencia de perturbaciones psicológicas o de otro orden, que aun cuando no alcancen </w:t>
      </w:r>
      <w:r w:rsidRPr="00424F06">
        <w:rPr>
          <w:rFonts w:ascii="Verdana" w:hAnsi="Verdana"/>
          <w:spacing w:val="-14"/>
          <w:w w:val="105"/>
          <w:sz w:val="20"/>
          <w:szCs w:val="20"/>
        </w:rPr>
        <w:t xml:space="preserve">a </w:t>
      </w:r>
      <w:r w:rsidRPr="00424F06">
        <w:rPr>
          <w:rFonts w:ascii="Verdana" w:hAnsi="Verdana"/>
          <w:w w:val="105"/>
          <w:sz w:val="20"/>
          <w:szCs w:val="20"/>
        </w:rPr>
        <w:t xml:space="preserve">producir incapacidad mental, si pueden afectar la veracidad o la fidelidad </w:t>
      </w:r>
      <w:r w:rsidRPr="00424F06">
        <w:rPr>
          <w:rFonts w:ascii="Verdana" w:hAnsi="Verdana"/>
          <w:spacing w:val="-4"/>
          <w:w w:val="105"/>
          <w:sz w:val="20"/>
          <w:szCs w:val="20"/>
        </w:rPr>
        <w:t xml:space="preserve">del </w:t>
      </w:r>
      <w:r w:rsidRPr="00424F06">
        <w:rPr>
          <w:rFonts w:ascii="Verdana" w:hAnsi="Verdana"/>
          <w:w w:val="105"/>
          <w:sz w:val="20"/>
          <w:szCs w:val="20"/>
        </w:rPr>
        <w:t xml:space="preserve">testimonio; f) Que el testigo no adolezca de falta total o de defectos del órgano de percepción que debía utilizar para el conocimiento del hecho objeto de </w:t>
      </w:r>
      <w:r w:rsidRPr="00424F06">
        <w:rPr>
          <w:rFonts w:ascii="Verdana" w:hAnsi="Verdana"/>
          <w:spacing w:val="-8"/>
          <w:w w:val="105"/>
          <w:sz w:val="20"/>
          <w:szCs w:val="20"/>
        </w:rPr>
        <w:t xml:space="preserve">su </w:t>
      </w:r>
      <w:r w:rsidRPr="00424F06">
        <w:rPr>
          <w:rFonts w:ascii="Verdana" w:hAnsi="Verdana"/>
          <w:w w:val="105"/>
          <w:sz w:val="20"/>
          <w:szCs w:val="20"/>
        </w:rPr>
        <w:t xml:space="preserve">testimonio; g) Una capacidad memorativa normal del testigo de acuerdo con la antigüedad de los hechos; h) Que no existan otras circunstancias subjetivas </w:t>
      </w:r>
      <w:r w:rsidRPr="00424F06">
        <w:rPr>
          <w:rFonts w:ascii="Verdana" w:hAnsi="Verdana"/>
          <w:spacing w:val="-17"/>
          <w:w w:val="105"/>
          <w:sz w:val="20"/>
          <w:szCs w:val="20"/>
        </w:rPr>
        <w:t xml:space="preserve">u </w:t>
      </w:r>
      <w:r w:rsidRPr="00424F06">
        <w:rPr>
          <w:rFonts w:ascii="Verdana" w:hAnsi="Verdana"/>
          <w:w w:val="105"/>
          <w:sz w:val="20"/>
          <w:szCs w:val="20"/>
        </w:rPr>
        <w:t>objetivas que puedan haber alterado la fidelidad de sus percepciones o de su</w:t>
      </w:r>
      <w:r w:rsidRPr="00424F06">
        <w:rPr>
          <w:rFonts w:ascii="Verdana" w:hAnsi="Verdana"/>
          <w:spacing w:val="64"/>
          <w:w w:val="105"/>
          <w:sz w:val="20"/>
          <w:szCs w:val="20"/>
        </w:rPr>
        <w:t xml:space="preserve"> </w:t>
      </w:r>
      <w:r w:rsidRPr="00424F06">
        <w:rPr>
          <w:rFonts w:ascii="Verdana" w:hAnsi="Verdana"/>
          <w:w w:val="105"/>
          <w:sz w:val="20"/>
          <w:szCs w:val="20"/>
        </w:rPr>
        <w:t xml:space="preserve">memoria; j) Ausencia de antecedentes de perjurio, falsedad o deshonestidad </w:t>
      </w:r>
      <w:r w:rsidRPr="00424F06">
        <w:rPr>
          <w:rFonts w:ascii="Verdana" w:hAnsi="Verdana"/>
          <w:spacing w:val="-4"/>
          <w:w w:val="105"/>
          <w:sz w:val="20"/>
          <w:szCs w:val="20"/>
        </w:rPr>
        <w:t xml:space="preserve">del </w:t>
      </w:r>
      <w:r w:rsidRPr="00424F06">
        <w:rPr>
          <w:rFonts w:ascii="Verdana" w:hAnsi="Verdana"/>
          <w:w w:val="105"/>
          <w:sz w:val="20"/>
          <w:szCs w:val="20"/>
        </w:rPr>
        <w:t xml:space="preserve">testigo; l) Que no aparezca improbable la ocurrencia del hecho en </w:t>
      </w:r>
      <w:r w:rsidRPr="00424F06">
        <w:rPr>
          <w:rFonts w:ascii="Verdana" w:hAnsi="Verdana"/>
          <w:spacing w:val="-4"/>
          <w:w w:val="105"/>
          <w:sz w:val="20"/>
          <w:szCs w:val="20"/>
        </w:rPr>
        <w:t xml:space="preserve">esas </w:t>
      </w:r>
      <w:r w:rsidRPr="00424F06">
        <w:rPr>
          <w:rFonts w:ascii="Verdana" w:hAnsi="Verdana"/>
          <w:w w:val="105"/>
          <w:sz w:val="20"/>
          <w:szCs w:val="20"/>
        </w:rPr>
        <w:t xml:space="preserve">circunstancias de tiempo, modo y lugar que el testigo expone; n) Que </w:t>
      </w:r>
      <w:r w:rsidRPr="00424F06">
        <w:rPr>
          <w:rFonts w:ascii="Verdana" w:hAnsi="Verdana"/>
          <w:spacing w:val="-6"/>
          <w:w w:val="105"/>
          <w:sz w:val="20"/>
          <w:szCs w:val="20"/>
        </w:rPr>
        <w:t xml:space="preserve">los </w:t>
      </w:r>
      <w:r w:rsidRPr="00424F06">
        <w:rPr>
          <w:rFonts w:ascii="Verdana" w:hAnsi="Verdana"/>
          <w:w w:val="105"/>
          <w:sz w:val="20"/>
          <w:szCs w:val="20"/>
        </w:rPr>
        <w:t xml:space="preserve">distintos hechos contenidos en su narración no aparezcan contradictorios entre sí; t) Que lo dicho por el testigo no esté en </w:t>
      </w:r>
      <w:r w:rsidRPr="00424F06">
        <w:rPr>
          <w:rFonts w:ascii="Verdana" w:hAnsi="Verdana"/>
          <w:w w:val="105"/>
          <w:sz w:val="20"/>
          <w:szCs w:val="20"/>
        </w:rPr>
        <w:lastRenderedPageBreak/>
        <w:t>contradicción con otras pruebas de mayor valor legal o de más fuerza de convicción. La anterior lista se propone dentro</w:t>
      </w:r>
      <w:r w:rsidRPr="00424F06">
        <w:rPr>
          <w:rFonts w:ascii="Verdana" w:hAnsi="Verdana"/>
          <w:spacing w:val="-10"/>
          <w:w w:val="105"/>
          <w:sz w:val="20"/>
          <w:szCs w:val="20"/>
        </w:rPr>
        <w:t xml:space="preserve"> </w:t>
      </w:r>
      <w:r w:rsidRPr="00424F06">
        <w:rPr>
          <w:rFonts w:ascii="Verdana" w:hAnsi="Verdana"/>
          <w:w w:val="105"/>
          <w:sz w:val="20"/>
          <w:szCs w:val="20"/>
        </w:rPr>
        <w:t>de</w:t>
      </w:r>
      <w:r w:rsidRPr="00424F06">
        <w:rPr>
          <w:rFonts w:ascii="Verdana" w:hAnsi="Verdana"/>
          <w:spacing w:val="-10"/>
          <w:w w:val="105"/>
          <w:sz w:val="20"/>
          <w:szCs w:val="20"/>
        </w:rPr>
        <w:t xml:space="preserve"> </w:t>
      </w:r>
      <w:r w:rsidRPr="00424F06">
        <w:rPr>
          <w:rFonts w:ascii="Verdana" w:hAnsi="Verdana"/>
          <w:w w:val="105"/>
          <w:sz w:val="20"/>
          <w:szCs w:val="20"/>
        </w:rPr>
        <w:t>otros</w:t>
      </w:r>
      <w:r w:rsidRPr="00424F06">
        <w:rPr>
          <w:rFonts w:ascii="Verdana" w:hAnsi="Verdana"/>
          <w:spacing w:val="-10"/>
          <w:w w:val="105"/>
          <w:sz w:val="20"/>
          <w:szCs w:val="20"/>
        </w:rPr>
        <w:t xml:space="preserve"> </w:t>
      </w:r>
      <w:r w:rsidRPr="00424F06">
        <w:rPr>
          <w:rFonts w:ascii="Verdana" w:hAnsi="Verdana"/>
          <w:w w:val="105"/>
          <w:sz w:val="20"/>
          <w:szCs w:val="20"/>
        </w:rPr>
        <w:t>requisitos</w:t>
      </w:r>
      <w:r w:rsidRPr="00424F06">
        <w:rPr>
          <w:rFonts w:ascii="Verdana" w:hAnsi="Verdana"/>
          <w:spacing w:val="-9"/>
          <w:w w:val="105"/>
          <w:sz w:val="20"/>
          <w:szCs w:val="20"/>
        </w:rPr>
        <w:t xml:space="preserve"> </w:t>
      </w:r>
      <w:r w:rsidRPr="00424F06">
        <w:rPr>
          <w:rFonts w:ascii="Verdana" w:hAnsi="Verdana"/>
          <w:w w:val="105"/>
          <w:sz w:val="20"/>
          <w:szCs w:val="20"/>
        </w:rPr>
        <w:t>enunciados</w:t>
      </w:r>
      <w:r w:rsidRPr="00424F06">
        <w:rPr>
          <w:rFonts w:ascii="Verdana" w:hAnsi="Verdana"/>
          <w:spacing w:val="-10"/>
          <w:w w:val="105"/>
          <w:sz w:val="20"/>
          <w:szCs w:val="20"/>
        </w:rPr>
        <w:t xml:space="preserve"> </w:t>
      </w:r>
      <w:r w:rsidRPr="00424F06">
        <w:rPr>
          <w:rFonts w:ascii="Verdana" w:hAnsi="Verdana"/>
          <w:w w:val="105"/>
          <w:sz w:val="20"/>
          <w:szCs w:val="20"/>
        </w:rPr>
        <w:t>por</w:t>
      </w:r>
      <w:r w:rsidRPr="00424F06">
        <w:rPr>
          <w:rFonts w:ascii="Verdana" w:hAnsi="Verdana"/>
          <w:spacing w:val="-10"/>
          <w:w w:val="105"/>
          <w:sz w:val="20"/>
          <w:szCs w:val="20"/>
        </w:rPr>
        <w:t xml:space="preserve"> </w:t>
      </w:r>
      <w:r w:rsidRPr="00424F06">
        <w:rPr>
          <w:rFonts w:ascii="Verdana" w:hAnsi="Verdana"/>
          <w:w w:val="105"/>
          <w:sz w:val="20"/>
          <w:szCs w:val="20"/>
        </w:rPr>
        <w:t>el</w:t>
      </w:r>
      <w:r w:rsidRPr="00424F06">
        <w:rPr>
          <w:rFonts w:ascii="Verdana" w:hAnsi="Verdana"/>
          <w:spacing w:val="-9"/>
          <w:w w:val="105"/>
          <w:sz w:val="20"/>
          <w:szCs w:val="20"/>
        </w:rPr>
        <w:t xml:space="preserve"> </w:t>
      </w:r>
      <w:r w:rsidRPr="00424F06">
        <w:rPr>
          <w:rFonts w:ascii="Verdana" w:hAnsi="Verdana"/>
          <w:w w:val="105"/>
          <w:sz w:val="20"/>
          <w:szCs w:val="20"/>
        </w:rPr>
        <w:t>referido</w:t>
      </w:r>
      <w:r w:rsidRPr="00424F06">
        <w:rPr>
          <w:rFonts w:ascii="Verdana" w:hAnsi="Verdana"/>
          <w:spacing w:val="-10"/>
          <w:w w:val="105"/>
          <w:sz w:val="20"/>
          <w:szCs w:val="20"/>
        </w:rPr>
        <w:t xml:space="preserve"> </w:t>
      </w:r>
      <w:r w:rsidRPr="00424F06">
        <w:rPr>
          <w:rFonts w:ascii="Verdana" w:hAnsi="Verdana"/>
          <w:w w:val="105"/>
          <w:sz w:val="20"/>
          <w:szCs w:val="20"/>
        </w:rPr>
        <w:t>autor,</w:t>
      </w:r>
      <w:r w:rsidRPr="00424F06">
        <w:rPr>
          <w:rFonts w:ascii="Verdana" w:hAnsi="Verdana"/>
          <w:spacing w:val="-10"/>
          <w:w w:val="105"/>
          <w:sz w:val="20"/>
          <w:szCs w:val="20"/>
        </w:rPr>
        <w:t xml:space="preserve"> </w:t>
      </w:r>
      <w:r w:rsidRPr="00424F06">
        <w:rPr>
          <w:rFonts w:ascii="Verdana" w:hAnsi="Verdana"/>
          <w:w w:val="105"/>
          <w:sz w:val="20"/>
          <w:szCs w:val="20"/>
        </w:rPr>
        <w:t>se</w:t>
      </w:r>
      <w:r w:rsidRPr="00424F06">
        <w:rPr>
          <w:rFonts w:ascii="Verdana" w:hAnsi="Verdana"/>
          <w:spacing w:val="-9"/>
          <w:w w:val="105"/>
          <w:sz w:val="20"/>
          <w:szCs w:val="20"/>
        </w:rPr>
        <w:t xml:space="preserve"> </w:t>
      </w:r>
      <w:r w:rsidRPr="00424F06">
        <w:rPr>
          <w:rFonts w:ascii="Verdana" w:hAnsi="Verdana"/>
          <w:w w:val="105"/>
          <w:sz w:val="20"/>
          <w:szCs w:val="20"/>
        </w:rPr>
        <w:t>refieren</w:t>
      </w:r>
      <w:r w:rsidRPr="00424F06">
        <w:rPr>
          <w:rFonts w:ascii="Verdana" w:hAnsi="Verdana"/>
          <w:spacing w:val="-10"/>
          <w:w w:val="105"/>
          <w:sz w:val="20"/>
          <w:szCs w:val="20"/>
        </w:rPr>
        <w:t xml:space="preserve"> </w:t>
      </w:r>
      <w:r w:rsidRPr="00424F06">
        <w:rPr>
          <w:rFonts w:ascii="Verdana" w:hAnsi="Verdana"/>
          <w:w w:val="105"/>
          <w:sz w:val="20"/>
          <w:szCs w:val="20"/>
        </w:rPr>
        <w:t>estos</w:t>
      </w:r>
      <w:r w:rsidRPr="00424F06">
        <w:rPr>
          <w:rFonts w:ascii="Verdana" w:hAnsi="Verdana"/>
          <w:spacing w:val="-10"/>
          <w:w w:val="105"/>
          <w:sz w:val="20"/>
          <w:szCs w:val="20"/>
        </w:rPr>
        <w:t xml:space="preserve"> </w:t>
      </w:r>
      <w:r w:rsidRPr="00424F06">
        <w:rPr>
          <w:rFonts w:ascii="Verdana" w:hAnsi="Verdana"/>
          <w:w w:val="105"/>
          <w:sz w:val="20"/>
          <w:szCs w:val="20"/>
        </w:rPr>
        <w:t>en</w:t>
      </w:r>
      <w:r w:rsidRPr="00424F06">
        <w:rPr>
          <w:rFonts w:ascii="Verdana" w:hAnsi="Verdana"/>
          <w:spacing w:val="-9"/>
          <w:w w:val="105"/>
          <w:sz w:val="20"/>
          <w:szCs w:val="20"/>
        </w:rPr>
        <w:t xml:space="preserve"> </w:t>
      </w:r>
      <w:r w:rsidRPr="00424F06">
        <w:rPr>
          <w:rFonts w:ascii="Verdana" w:hAnsi="Verdana"/>
          <w:w w:val="105"/>
          <w:sz w:val="20"/>
          <w:szCs w:val="20"/>
        </w:rPr>
        <w:t xml:space="preserve">la medida de ilustrar la materia sin abarcar totalmente su desarrollo doctrinal y práctico, buscando remembranza sobre aspectos fundamentales de la </w:t>
      </w:r>
      <w:r w:rsidRPr="00424F06">
        <w:rPr>
          <w:rFonts w:ascii="Verdana" w:hAnsi="Verdana"/>
          <w:spacing w:val="-3"/>
          <w:w w:val="105"/>
          <w:sz w:val="20"/>
          <w:szCs w:val="20"/>
        </w:rPr>
        <w:t xml:space="preserve">misma </w:t>
      </w:r>
      <w:r w:rsidRPr="00424F06">
        <w:rPr>
          <w:rFonts w:ascii="Verdana" w:hAnsi="Verdana"/>
          <w:w w:val="105"/>
          <w:sz w:val="20"/>
          <w:szCs w:val="20"/>
        </w:rPr>
        <w:t>prueba</w:t>
      </w:r>
      <w:r w:rsidRPr="00424F06">
        <w:rPr>
          <w:rFonts w:ascii="Verdana" w:hAnsi="Verdana"/>
          <w:spacing w:val="-11"/>
          <w:w w:val="105"/>
          <w:sz w:val="20"/>
          <w:szCs w:val="20"/>
        </w:rPr>
        <w:t xml:space="preserve"> </w:t>
      </w:r>
      <w:r w:rsidRPr="00424F06">
        <w:rPr>
          <w:rFonts w:ascii="Verdana" w:hAnsi="Verdana"/>
          <w:w w:val="105"/>
          <w:sz w:val="20"/>
          <w:szCs w:val="20"/>
        </w:rPr>
        <w:t>testimonial.</w:t>
      </w:r>
      <w:r>
        <w:rPr>
          <w:rStyle w:val="Refdenotaalpie"/>
          <w:rFonts w:ascii="Verdana" w:hAnsi="Verdana"/>
          <w:w w:val="105"/>
          <w:sz w:val="20"/>
          <w:szCs w:val="20"/>
        </w:rPr>
        <w:footnoteReference w:id="6"/>
      </w:r>
    </w:p>
    <w:p w:rsidR="00E41083" w:rsidRDefault="00E41083" w:rsidP="00E41083">
      <w:pPr>
        <w:jc w:val="both"/>
        <w:rPr>
          <w:rFonts w:ascii="Verdana" w:hAnsi="Verdana"/>
          <w:sz w:val="20"/>
          <w:szCs w:val="20"/>
        </w:rPr>
      </w:pPr>
    </w:p>
    <w:p w:rsidR="00E41083" w:rsidRDefault="00E41083" w:rsidP="00E41083">
      <w:pPr>
        <w:jc w:val="both"/>
        <w:rPr>
          <w:rFonts w:ascii="Verdana" w:hAnsi="Verdana"/>
        </w:rPr>
      </w:pPr>
      <w:r>
        <w:rPr>
          <w:rFonts w:ascii="Verdana" w:hAnsi="Verdana"/>
        </w:rPr>
        <w:t>Expuestos los principales elementos que se deben conocer sobre el testigo y el testimonio, no puede pasarse por alto la presentación de ciertas modalidades especiales. Una de ellas corresponde al testigo técnico, esto es, “[…] aquellas personas que conocen el hecho en virtud o con el auxilio de sus conocimientos científicos o técnicos especiales y que, por consiguiente, fundamentan su narración en esos conocimientos, además de sus percepciones.”</w:t>
      </w:r>
      <w:r>
        <w:rPr>
          <w:rStyle w:val="Refdenotaalpie"/>
          <w:rFonts w:ascii="Verdana" w:hAnsi="Verdana"/>
        </w:rPr>
        <w:footnoteReference w:id="7"/>
      </w:r>
    </w:p>
    <w:p w:rsidR="00E41083" w:rsidRDefault="00E41083" w:rsidP="00E41083">
      <w:pPr>
        <w:jc w:val="both"/>
        <w:rPr>
          <w:rFonts w:ascii="Verdana" w:hAnsi="Verdana"/>
        </w:rPr>
      </w:pPr>
    </w:p>
    <w:p w:rsidR="00E41083" w:rsidRDefault="00E41083" w:rsidP="00E41083">
      <w:pPr>
        <w:jc w:val="both"/>
        <w:rPr>
          <w:rFonts w:ascii="Verdana" w:hAnsi="Verdana"/>
        </w:rPr>
      </w:pPr>
      <w:r>
        <w:rPr>
          <w:rFonts w:ascii="Verdana" w:hAnsi="Verdana"/>
        </w:rPr>
        <w:t>Otra forma es el testimonio de oídas. Se presenta:</w:t>
      </w:r>
    </w:p>
    <w:p w:rsidR="00E41083" w:rsidRDefault="00E41083" w:rsidP="00E41083">
      <w:pPr>
        <w:jc w:val="both"/>
        <w:rPr>
          <w:rFonts w:ascii="Verdana" w:hAnsi="Verdana"/>
        </w:rPr>
      </w:pPr>
    </w:p>
    <w:p w:rsidR="00E41083" w:rsidRDefault="00E41083" w:rsidP="00E41083">
      <w:pPr>
        <w:ind w:left="705"/>
        <w:jc w:val="both"/>
        <w:rPr>
          <w:rFonts w:ascii="Verdana" w:hAnsi="Verdana"/>
          <w:sz w:val="20"/>
          <w:szCs w:val="20"/>
        </w:rPr>
      </w:pPr>
      <w:r w:rsidRPr="00B12086">
        <w:rPr>
          <w:rFonts w:ascii="Verdana" w:hAnsi="Verdana"/>
          <w:sz w:val="20"/>
          <w:szCs w:val="20"/>
        </w:rPr>
        <w:t xml:space="preserve">[…] cuando lo que se relata no es el hecho que se investiga o se pretende demostrar, sino la narración que sobre este han hecho otras personas […] No existe entonces una representación directa e inmediata, sino indirecta o mediata del hecho por probar, ya que el testigo narra no el hecho representado, sino otro representativo de este, a saber: el relato de terceros. Objeto de estos testimonios es la percepción que </w:t>
      </w:r>
      <w:r w:rsidRPr="00B12086">
        <w:rPr>
          <w:rFonts w:ascii="Verdana" w:hAnsi="Verdana"/>
          <w:i/>
          <w:sz w:val="20"/>
          <w:szCs w:val="20"/>
        </w:rPr>
        <w:t xml:space="preserve">ex </w:t>
      </w:r>
      <w:proofErr w:type="spellStart"/>
      <w:r w:rsidRPr="00B12086">
        <w:rPr>
          <w:rFonts w:ascii="Verdana" w:hAnsi="Verdana"/>
          <w:i/>
          <w:sz w:val="20"/>
          <w:szCs w:val="20"/>
        </w:rPr>
        <w:t>auditu</w:t>
      </w:r>
      <w:proofErr w:type="spellEnd"/>
      <w:r w:rsidRPr="00B12086">
        <w:rPr>
          <w:rFonts w:ascii="Verdana" w:hAnsi="Verdana"/>
          <w:i/>
          <w:sz w:val="20"/>
          <w:szCs w:val="20"/>
        </w:rPr>
        <w:t xml:space="preserve"> </w:t>
      </w:r>
      <w:r w:rsidRPr="00B12086">
        <w:rPr>
          <w:rFonts w:ascii="Verdana" w:hAnsi="Verdana"/>
          <w:sz w:val="20"/>
          <w:szCs w:val="20"/>
        </w:rPr>
        <w:t xml:space="preserve">tuvo el testigo, es decir, el hecho de la narración oída, y no el hecho narrado por esos terceros. El testimonio de oídas puede tener diferentes grados, según que el testigo narre lo que personalmente oyó o lo que otra persona le dijo haber oído a una tercera, y así sucesivamente. En este sentido, se habla de testimonios de </w:t>
      </w:r>
      <w:proofErr w:type="spellStart"/>
      <w:r w:rsidRPr="00B12086">
        <w:rPr>
          <w:rFonts w:ascii="Verdana" w:hAnsi="Verdana"/>
          <w:i/>
          <w:sz w:val="20"/>
          <w:szCs w:val="20"/>
        </w:rPr>
        <w:t>auditu</w:t>
      </w:r>
      <w:proofErr w:type="spellEnd"/>
      <w:r w:rsidRPr="00B12086">
        <w:rPr>
          <w:rFonts w:ascii="Verdana" w:hAnsi="Verdana"/>
          <w:i/>
          <w:sz w:val="20"/>
          <w:szCs w:val="20"/>
        </w:rPr>
        <w:t xml:space="preserve"> proprio</w:t>
      </w:r>
      <w:r w:rsidRPr="00B12086">
        <w:rPr>
          <w:rFonts w:ascii="Verdana" w:hAnsi="Verdana"/>
          <w:sz w:val="20"/>
          <w:szCs w:val="20"/>
        </w:rPr>
        <w:t xml:space="preserve"> y de </w:t>
      </w:r>
      <w:proofErr w:type="spellStart"/>
      <w:r w:rsidRPr="00B12086">
        <w:rPr>
          <w:rFonts w:ascii="Verdana" w:hAnsi="Verdana"/>
          <w:i/>
          <w:sz w:val="20"/>
          <w:szCs w:val="20"/>
        </w:rPr>
        <w:t>auditu</w:t>
      </w:r>
      <w:proofErr w:type="spellEnd"/>
      <w:r w:rsidRPr="00B12086">
        <w:rPr>
          <w:rFonts w:ascii="Verdana" w:hAnsi="Verdana"/>
          <w:i/>
          <w:sz w:val="20"/>
          <w:szCs w:val="20"/>
        </w:rPr>
        <w:t xml:space="preserve"> alieno</w:t>
      </w:r>
      <w:r w:rsidRPr="00B12086">
        <w:rPr>
          <w:rFonts w:ascii="Verdana" w:hAnsi="Verdana"/>
          <w:sz w:val="20"/>
          <w:szCs w:val="20"/>
        </w:rPr>
        <w:t xml:space="preserve"> o </w:t>
      </w:r>
      <w:proofErr w:type="spellStart"/>
      <w:r w:rsidRPr="00B12086">
        <w:rPr>
          <w:rFonts w:ascii="Verdana" w:hAnsi="Verdana"/>
          <w:i/>
          <w:sz w:val="20"/>
          <w:szCs w:val="20"/>
        </w:rPr>
        <w:t>auditu</w:t>
      </w:r>
      <w:proofErr w:type="spellEnd"/>
      <w:r w:rsidRPr="00B12086">
        <w:rPr>
          <w:rFonts w:ascii="Verdana" w:hAnsi="Verdana"/>
          <w:i/>
          <w:sz w:val="20"/>
          <w:szCs w:val="20"/>
        </w:rPr>
        <w:t xml:space="preserve"> </w:t>
      </w:r>
      <w:proofErr w:type="spellStart"/>
      <w:r w:rsidRPr="00B12086">
        <w:rPr>
          <w:rFonts w:ascii="Verdana" w:hAnsi="Verdana"/>
          <w:i/>
          <w:sz w:val="20"/>
          <w:szCs w:val="20"/>
        </w:rPr>
        <w:t>auditus</w:t>
      </w:r>
      <w:proofErr w:type="spellEnd"/>
      <w:r w:rsidRPr="00B12086">
        <w:rPr>
          <w:rFonts w:ascii="Verdana" w:hAnsi="Verdana"/>
          <w:i/>
          <w:sz w:val="20"/>
          <w:szCs w:val="20"/>
        </w:rPr>
        <w:t>.</w:t>
      </w:r>
      <w:r w:rsidRPr="00B12086">
        <w:rPr>
          <w:rFonts w:ascii="Verdana" w:hAnsi="Verdana"/>
          <w:sz w:val="20"/>
          <w:szCs w:val="20"/>
        </w:rPr>
        <w:t xml:space="preserve"> Antiguamente se negaba al segundo el carácter de verdadero testimonio y todo mérito probatorio a la declaración; actualmente, algunas legislaciones rechazan el testimonio de oídas en general y otras dejan al juez en libertad para apreciarlo. En el segundo caso, el valor probatorio va huyendo a medida que se aleja de la fuente original.</w:t>
      </w:r>
      <w:r w:rsidRPr="00B12086">
        <w:rPr>
          <w:rStyle w:val="Refdenotaalpie"/>
          <w:rFonts w:ascii="Verdana" w:hAnsi="Verdana"/>
          <w:sz w:val="20"/>
          <w:szCs w:val="20"/>
        </w:rPr>
        <w:footnoteReference w:id="8"/>
      </w:r>
    </w:p>
    <w:p w:rsidR="00E41083" w:rsidRDefault="00E41083" w:rsidP="00E41083">
      <w:pPr>
        <w:jc w:val="both"/>
        <w:rPr>
          <w:rFonts w:ascii="Verdana" w:hAnsi="Verdana"/>
          <w:sz w:val="20"/>
          <w:szCs w:val="20"/>
        </w:rPr>
      </w:pPr>
    </w:p>
    <w:p w:rsidR="00E41083" w:rsidRDefault="00E41083" w:rsidP="00E41083">
      <w:pPr>
        <w:jc w:val="both"/>
        <w:rPr>
          <w:rFonts w:ascii="Verdana" w:hAnsi="Verdana"/>
        </w:rPr>
      </w:pPr>
      <w:r>
        <w:rPr>
          <w:rFonts w:ascii="Verdana" w:hAnsi="Verdana"/>
        </w:rPr>
        <w:t xml:space="preserve">Para el caso colombiano, la jurisprudencia de la Corte Suprema de Justicia no le niega capacidad probatoria de plano. Asegura que este debe ser apreciado como una prueba de corroboración, siempre que la fuente del mismo, también sea medio de prueba; de lo contrario, no podría fundamentar por sí solo una decisión sancionatoria. </w:t>
      </w:r>
    </w:p>
    <w:p w:rsidR="00E41083" w:rsidRDefault="00E41083" w:rsidP="00E41083">
      <w:pPr>
        <w:jc w:val="both"/>
        <w:rPr>
          <w:rFonts w:ascii="Verdana" w:hAnsi="Verdana"/>
        </w:rPr>
      </w:pPr>
    </w:p>
    <w:p w:rsidR="00E41083" w:rsidRDefault="00E41083" w:rsidP="00E41083">
      <w:pPr>
        <w:jc w:val="both"/>
        <w:rPr>
          <w:rFonts w:ascii="Verdana" w:hAnsi="Verdana"/>
        </w:rPr>
      </w:pPr>
      <w:r>
        <w:rPr>
          <w:rFonts w:ascii="Verdana" w:hAnsi="Verdana"/>
        </w:rPr>
        <w:t>Otra categoría se denomina testimonio respecto de hecho antiguo:</w:t>
      </w:r>
    </w:p>
    <w:p w:rsidR="00E41083" w:rsidRDefault="00E41083" w:rsidP="00E41083">
      <w:pPr>
        <w:jc w:val="both"/>
        <w:rPr>
          <w:rFonts w:ascii="Verdana" w:hAnsi="Verdana"/>
        </w:rPr>
      </w:pPr>
    </w:p>
    <w:p w:rsidR="00E41083" w:rsidRDefault="00E41083" w:rsidP="00E41083">
      <w:pPr>
        <w:ind w:left="705"/>
        <w:jc w:val="both"/>
        <w:rPr>
          <w:rFonts w:ascii="Verdana" w:hAnsi="Verdana"/>
          <w:sz w:val="20"/>
          <w:szCs w:val="20"/>
        </w:rPr>
      </w:pPr>
      <w:r w:rsidRPr="00B12086">
        <w:rPr>
          <w:rFonts w:ascii="Verdana" w:hAnsi="Verdana"/>
          <w:sz w:val="20"/>
          <w:szCs w:val="20"/>
        </w:rPr>
        <w:t xml:space="preserve">Nosotros creemos que se trata de aquellos hechos para cuya prueba ya no es posible encontrar testigos que los hubieran podido percibir, por haber fallecido en razón de su antigüedad, de tal modo que únicamente pueda demostrarse el </w:t>
      </w:r>
      <w:r w:rsidRPr="00B12086">
        <w:rPr>
          <w:rFonts w:ascii="Verdana" w:hAnsi="Verdana"/>
          <w:sz w:val="20"/>
          <w:szCs w:val="20"/>
        </w:rPr>
        <w:lastRenderedPageBreak/>
        <w:t>dicho de estos.</w:t>
      </w:r>
      <w:r>
        <w:rPr>
          <w:rStyle w:val="Refdenotaalpie"/>
          <w:rFonts w:ascii="Verdana" w:hAnsi="Verdana"/>
          <w:sz w:val="20"/>
          <w:szCs w:val="20"/>
        </w:rPr>
        <w:footnoteReference w:id="9"/>
      </w:r>
      <w:r w:rsidRPr="00B12086">
        <w:rPr>
          <w:rFonts w:ascii="Verdana" w:hAnsi="Verdana"/>
          <w:sz w:val="20"/>
          <w:szCs w:val="20"/>
        </w:rPr>
        <w:t xml:space="preserve"> </w:t>
      </w:r>
    </w:p>
    <w:p w:rsidR="00E41083" w:rsidRDefault="00E41083" w:rsidP="00E41083">
      <w:pPr>
        <w:jc w:val="both"/>
        <w:rPr>
          <w:rFonts w:ascii="Verdana" w:hAnsi="Verdana"/>
          <w:sz w:val="20"/>
          <w:szCs w:val="20"/>
        </w:rPr>
      </w:pPr>
    </w:p>
    <w:p w:rsidR="00E41083" w:rsidRDefault="00E41083" w:rsidP="00E41083">
      <w:pPr>
        <w:pStyle w:val="Prrafodelista"/>
        <w:widowControl/>
        <w:numPr>
          <w:ilvl w:val="0"/>
          <w:numId w:val="5"/>
        </w:numPr>
        <w:autoSpaceDE/>
        <w:autoSpaceDN/>
        <w:spacing w:line="276" w:lineRule="auto"/>
        <w:jc w:val="both"/>
        <w:rPr>
          <w:rFonts w:ascii="Verdana" w:hAnsi="Verdana"/>
          <w:b/>
          <w:sz w:val="20"/>
          <w:szCs w:val="20"/>
        </w:rPr>
      </w:pPr>
      <w:r>
        <w:rPr>
          <w:rFonts w:ascii="Verdana" w:hAnsi="Verdana"/>
          <w:b/>
          <w:sz w:val="20"/>
          <w:szCs w:val="20"/>
        </w:rPr>
        <w:t>Jurisprudencial</w:t>
      </w:r>
    </w:p>
    <w:p w:rsidR="00E41083" w:rsidRPr="004D2550" w:rsidRDefault="00E41083" w:rsidP="00E41083">
      <w:pPr>
        <w:jc w:val="both"/>
        <w:rPr>
          <w:rFonts w:ascii="Verdana" w:hAnsi="Verdana"/>
          <w:b/>
        </w:rPr>
      </w:pPr>
    </w:p>
    <w:p w:rsidR="00E41083" w:rsidRPr="004D2550" w:rsidRDefault="00E41083" w:rsidP="00E41083">
      <w:pPr>
        <w:jc w:val="both"/>
        <w:rPr>
          <w:rFonts w:ascii="Verdana" w:hAnsi="Verdana"/>
        </w:rPr>
      </w:pPr>
      <w:r w:rsidRPr="004D2550">
        <w:rPr>
          <w:rFonts w:ascii="Verdana" w:hAnsi="Verdana"/>
        </w:rPr>
        <w:t>La Corte Suprema de Justicia dijo que “[…] por testimonio cabe entender, jurídicamente hablando, los hechos, circunstancias o cosas que se ponen en conocimiento de la autoridad respectiva y que interesan a una investigación o a un proceso”.</w:t>
      </w:r>
      <w:r w:rsidRPr="004D2550">
        <w:rPr>
          <w:rStyle w:val="Refdenotaalpie"/>
          <w:rFonts w:ascii="Verdana" w:hAnsi="Verdana"/>
        </w:rPr>
        <w:footnoteReference w:id="10"/>
      </w:r>
    </w:p>
    <w:p w:rsidR="00E41083" w:rsidRPr="004D2550" w:rsidRDefault="00E41083" w:rsidP="00E41083">
      <w:pPr>
        <w:jc w:val="both"/>
        <w:rPr>
          <w:rFonts w:ascii="Verdana" w:hAnsi="Verdana"/>
        </w:rPr>
      </w:pPr>
    </w:p>
    <w:p w:rsidR="00E41083" w:rsidRDefault="00E41083" w:rsidP="00E41083">
      <w:pPr>
        <w:jc w:val="both"/>
        <w:rPr>
          <w:rFonts w:ascii="Verdana" w:hAnsi="Verdana"/>
        </w:rPr>
      </w:pPr>
      <w:r w:rsidRPr="004D2550">
        <w:rPr>
          <w:rFonts w:ascii="Verdana" w:hAnsi="Verdana"/>
        </w:rPr>
        <w:t>Ahora bi</w:t>
      </w:r>
      <w:r>
        <w:rPr>
          <w:rFonts w:ascii="Verdana" w:hAnsi="Verdana"/>
        </w:rPr>
        <w:t>en, sobre el deber de comparecer al testimonio y la capacidad de excusarse del mismo, la Corte Constitucional aseguró:</w:t>
      </w:r>
    </w:p>
    <w:p w:rsidR="00E41083" w:rsidRDefault="00E41083" w:rsidP="00E41083">
      <w:pPr>
        <w:jc w:val="both"/>
        <w:rPr>
          <w:rFonts w:ascii="Verdana" w:hAnsi="Verdana"/>
        </w:rPr>
      </w:pPr>
    </w:p>
    <w:p w:rsidR="00E41083" w:rsidRDefault="00E41083" w:rsidP="00E41083">
      <w:pPr>
        <w:ind w:left="705"/>
        <w:jc w:val="both"/>
        <w:rPr>
          <w:rFonts w:ascii="Verdana" w:hAnsi="Verdana"/>
          <w:sz w:val="20"/>
          <w:szCs w:val="20"/>
        </w:rPr>
      </w:pPr>
      <w:r w:rsidRPr="004D2550">
        <w:rPr>
          <w:rFonts w:ascii="Verdana" w:hAnsi="Verdana"/>
          <w:sz w:val="20"/>
          <w:szCs w:val="20"/>
        </w:rPr>
        <w:t>[…] lo que prohíbe la Carta Política es obligar a alguien a declarar contra sí mismo o contra su cónyuge, compañero permanente o parientes dentro del cuarto grado de consanguinidad, segundo de afinidad o primero civil. Las personas no comprendidas en el artículo citado pueden ser obligadas a declarar en aras del deber de solidaridad y de colaboración con la justicia, consagrados en el artículo 95 superior.</w:t>
      </w:r>
      <w:r>
        <w:rPr>
          <w:rStyle w:val="Refdenotaalpie"/>
          <w:rFonts w:ascii="Verdana" w:hAnsi="Verdana"/>
          <w:sz w:val="20"/>
          <w:szCs w:val="20"/>
        </w:rPr>
        <w:footnoteReference w:id="11"/>
      </w:r>
      <w:r w:rsidRPr="004D2550">
        <w:rPr>
          <w:rFonts w:ascii="Verdana" w:hAnsi="Verdana"/>
          <w:sz w:val="20"/>
          <w:szCs w:val="20"/>
        </w:rPr>
        <w:t xml:space="preserve"> </w:t>
      </w:r>
    </w:p>
    <w:p w:rsidR="00E41083" w:rsidRDefault="00E41083" w:rsidP="00E41083">
      <w:pPr>
        <w:jc w:val="both"/>
        <w:rPr>
          <w:rFonts w:ascii="Verdana" w:hAnsi="Verdana"/>
          <w:sz w:val="20"/>
          <w:szCs w:val="20"/>
        </w:rPr>
      </w:pPr>
    </w:p>
    <w:p w:rsidR="00E41083" w:rsidRDefault="00E41083" w:rsidP="00E41083">
      <w:pPr>
        <w:jc w:val="both"/>
        <w:rPr>
          <w:rFonts w:ascii="Verdana" w:hAnsi="Verdana"/>
        </w:rPr>
      </w:pPr>
      <w:r>
        <w:rPr>
          <w:rFonts w:ascii="Verdana" w:hAnsi="Verdana"/>
        </w:rPr>
        <w:t>En torno a la prueba testimonial indirecta, la Corte Suprema de Justicia arribó a las siguientes conclusiones:</w:t>
      </w:r>
    </w:p>
    <w:p w:rsidR="00E41083" w:rsidRDefault="00E41083" w:rsidP="00E41083">
      <w:pPr>
        <w:jc w:val="both"/>
        <w:rPr>
          <w:rFonts w:ascii="Verdana" w:hAnsi="Verdana"/>
        </w:rPr>
      </w:pPr>
    </w:p>
    <w:p w:rsidR="00E41083" w:rsidRDefault="00E41083" w:rsidP="00E41083">
      <w:pPr>
        <w:ind w:left="705"/>
        <w:jc w:val="both"/>
        <w:rPr>
          <w:rFonts w:ascii="Verdana" w:hAnsi="Verdana"/>
          <w:sz w:val="20"/>
          <w:szCs w:val="20"/>
        </w:rPr>
      </w:pPr>
      <w:r w:rsidRPr="004D2550">
        <w:rPr>
          <w:rFonts w:ascii="Verdana" w:hAnsi="Verdana"/>
          <w:sz w:val="20"/>
          <w:szCs w:val="20"/>
        </w:rPr>
        <w:t>La ley 906 de 2004 introduce una especie de “tarifa negativa” para limitar al poder suasorio de las pruebas de referencia al estipular en el artículo 381 que la sentencia condenatoria no podrá fundamentarse exclusivamente en esa clase de medios de convicción.</w:t>
      </w:r>
      <w:r>
        <w:rPr>
          <w:rStyle w:val="Refdenotaalpie"/>
          <w:rFonts w:ascii="Verdana" w:hAnsi="Verdana"/>
          <w:sz w:val="20"/>
          <w:szCs w:val="20"/>
        </w:rPr>
        <w:footnoteReference w:id="12"/>
      </w:r>
    </w:p>
    <w:p w:rsidR="00E41083" w:rsidRDefault="00E41083" w:rsidP="00E41083">
      <w:pPr>
        <w:jc w:val="both"/>
        <w:rPr>
          <w:rFonts w:ascii="Verdana" w:hAnsi="Verdana"/>
          <w:sz w:val="20"/>
          <w:szCs w:val="20"/>
        </w:rPr>
      </w:pPr>
    </w:p>
    <w:p w:rsidR="00E41083" w:rsidRPr="004D2550" w:rsidRDefault="00E41083" w:rsidP="00E41083">
      <w:pPr>
        <w:jc w:val="both"/>
        <w:rPr>
          <w:rFonts w:ascii="Verdana" w:hAnsi="Verdana"/>
        </w:rPr>
      </w:pPr>
      <w:r>
        <w:rPr>
          <w:rFonts w:ascii="Verdana" w:hAnsi="Verdana"/>
        </w:rPr>
        <w:t xml:space="preserve">De esta manera, han quedado desarrollados los aspectos más relevantes que han sido abordados por la doctrina y la jurisprudencia con relación a la prueba testimonial. </w:t>
      </w:r>
    </w:p>
    <w:p w:rsidR="00E41083" w:rsidRPr="00E41083" w:rsidRDefault="00E41083" w:rsidP="00E41083"/>
    <w:sectPr w:rsidR="00E41083" w:rsidRPr="00E4108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B6" w:rsidRDefault="003316B6" w:rsidP="003310FE">
      <w:r>
        <w:separator/>
      </w:r>
    </w:p>
  </w:endnote>
  <w:endnote w:type="continuationSeparator" w:id="0">
    <w:p w:rsidR="003316B6" w:rsidRDefault="003316B6" w:rsidP="003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B6" w:rsidRDefault="003316B6" w:rsidP="003310FE">
      <w:r>
        <w:separator/>
      </w:r>
    </w:p>
  </w:footnote>
  <w:footnote w:type="continuationSeparator" w:id="0">
    <w:p w:rsidR="003316B6" w:rsidRDefault="003316B6" w:rsidP="003310FE">
      <w:r>
        <w:continuationSeparator/>
      </w:r>
    </w:p>
  </w:footnote>
  <w:footnote w:id="1">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JAUCHEN. Eduardo. </w:t>
      </w:r>
      <w:r w:rsidRPr="004D2550">
        <w:rPr>
          <w:rFonts w:ascii="Verdana" w:hAnsi="Verdana"/>
          <w:i/>
          <w:sz w:val="18"/>
          <w:szCs w:val="18"/>
        </w:rPr>
        <w:t xml:space="preserve">Tratado de la prueba en materia penal. </w:t>
      </w:r>
      <w:r w:rsidRPr="004D2550">
        <w:rPr>
          <w:rFonts w:ascii="Verdana" w:hAnsi="Verdana"/>
          <w:sz w:val="18"/>
          <w:szCs w:val="18"/>
        </w:rPr>
        <w:t xml:space="preserve">Ed. </w:t>
      </w:r>
      <w:proofErr w:type="spellStart"/>
      <w:r w:rsidRPr="004D2550">
        <w:rPr>
          <w:rFonts w:ascii="Verdana" w:hAnsi="Verdana"/>
          <w:sz w:val="18"/>
          <w:szCs w:val="18"/>
        </w:rPr>
        <w:t>Rubinzal</w:t>
      </w:r>
      <w:proofErr w:type="spellEnd"/>
      <w:r w:rsidRPr="004D2550">
        <w:rPr>
          <w:rFonts w:ascii="Verdana" w:hAnsi="Verdana"/>
          <w:sz w:val="18"/>
          <w:szCs w:val="18"/>
        </w:rPr>
        <w:t xml:space="preserve"> – </w:t>
      </w:r>
      <w:proofErr w:type="spellStart"/>
      <w:r w:rsidRPr="004D2550">
        <w:rPr>
          <w:rFonts w:ascii="Verdana" w:hAnsi="Verdana"/>
          <w:sz w:val="18"/>
          <w:szCs w:val="18"/>
        </w:rPr>
        <w:t>Culzoni</w:t>
      </w:r>
      <w:proofErr w:type="spellEnd"/>
      <w:r w:rsidRPr="004D2550">
        <w:rPr>
          <w:rFonts w:ascii="Verdana" w:hAnsi="Verdana"/>
          <w:sz w:val="18"/>
          <w:szCs w:val="18"/>
        </w:rPr>
        <w:t xml:space="preserve">. Buenos Aires. 2009. Pp. 287 y 288. </w:t>
      </w:r>
    </w:p>
  </w:footnote>
  <w:footnote w:id="2">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 xml:space="preserve">Tomo II. Ed. Temis. 5ª edición. Bogotá. 2006. Pp. 27 y 28. </w:t>
      </w:r>
    </w:p>
  </w:footnote>
  <w:footnote w:id="3">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 xml:space="preserve">Tomo II. Ed. Temis. 5ª edición. Bogotá. 2006. Pp. 42 a 44. </w:t>
      </w:r>
    </w:p>
  </w:footnote>
  <w:footnote w:id="4">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 xml:space="preserve">Tomo II. Ed. Temis. 5ª edición. Bogotá. 2006. Pp. 51 a 53. </w:t>
      </w:r>
    </w:p>
  </w:footnote>
  <w:footnote w:id="5">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Tomo II. Ed. Temis. 5ª edición. Bogotá. 2006. P. 61</w:t>
      </w:r>
    </w:p>
  </w:footnote>
  <w:footnote w:id="6">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 xml:space="preserve">Tomo II. Ed. Temis. 5ª edición. Bogotá. 2006. </w:t>
      </w:r>
    </w:p>
  </w:footnote>
  <w:footnote w:id="7">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 xml:space="preserve">Tomo II. Ed. Temis. 5ª edición. Bogotá. 2006. P. 64. </w:t>
      </w:r>
    </w:p>
  </w:footnote>
  <w:footnote w:id="8">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 xml:space="preserve">Tomo II. Ed. Temis. 5ª edición. Bogotá. 2006. Pp. 68 y 69. </w:t>
      </w:r>
    </w:p>
  </w:footnote>
  <w:footnote w:id="9">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DEVIS ECHANDÍA. Hernando. </w:t>
      </w:r>
      <w:r w:rsidRPr="004D2550">
        <w:rPr>
          <w:rFonts w:ascii="Verdana" w:hAnsi="Verdana"/>
          <w:i/>
          <w:sz w:val="18"/>
          <w:szCs w:val="18"/>
        </w:rPr>
        <w:t xml:space="preserve">Teoría General de la Prueba Judicial. </w:t>
      </w:r>
      <w:r w:rsidRPr="004D2550">
        <w:rPr>
          <w:rFonts w:ascii="Verdana" w:hAnsi="Verdana"/>
          <w:sz w:val="18"/>
          <w:szCs w:val="18"/>
        </w:rPr>
        <w:t>Tomo II. Ed. Temis. 5ª edición. Bogotá. 2006. P. 70.</w:t>
      </w:r>
    </w:p>
  </w:footnote>
  <w:footnote w:id="10">
    <w:p w:rsidR="00E41083" w:rsidRPr="004D2550" w:rsidRDefault="00E41083" w:rsidP="00E41083">
      <w:pPr>
        <w:pStyle w:val="Textonotapie"/>
        <w:spacing w:line="276" w:lineRule="auto"/>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CORTE SUPREMA DE JUSTICIA. Sala de Casación Penal. Sentencia del 26 de enero de 2006. Ad. 23.706. M.P. Marina Pulido de Barón. </w:t>
      </w:r>
    </w:p>
  </w:footnote>
  <w:footnote w:id="11">
    <w:p w:rsidR="00E41083" w:rsidRPr="004D2550" w:rsidRDefault="00E41083" w:rsidP="00E41083">
      <w:pPr>
        <w:pStyle w:val="Textonotapie"/>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CORTE CONSTITUCIONAL. Sentencia C- 069 de 1994. M.P. Vladimiro Naranjo Mesa. </w:t>
      </w:r>
    </w:p>
  </w:footnote>
  <w:footnote w:id="12">
    <w:p w:rsidR="00E41083" w:rsidRPr="004D2550" w:rsidRDefault="00E41083" w:rsidP="00E41083">
      <w:pPr>
        <w:pStyle w:val="Textonotapie"/>
        <w:jc w:val="both"/>
        <w:rPr>
          <w:rFonts w:ascii="Verdana" w:hAnsi="Verdana"/>
          <w:sz w:val="18"/>
          <w:szCs w:val="18"/>
        </w:rPr>
      </w:pPr>
      <w:r w:rsidRPr="004D2550">
        <w:rPr>
          <w:rStyle w:val="Refdenotaalpie"/>
          <w:rFonts w:ascii="Verdana" w:hAnsi="Verdana"/>
          <w:sz w:val="18"/>
          <w:szCs w:val="18"/>
        </w:rPr>
        <w:footnoteRef/>
      </w:r>
      <w:r w:rsidRPr="004D2550">
        <w:rPr>
          <w:rFonts w:ascii="Verdana" w:hAnsi="Verdana"/>
          <w:sz w:val="18"/>
          <w:szCs w:val="18"/>
        </w:rPr>
        <w:t xml:space="preserve"> CORTE SUPREMA DE JUSTICIA. Sala de Casación Penal. Sentencia del 24 de noviembre de 2005. Rad. 24.323. M.P. Yesid Ramírez Bastidas.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0" w:rsidRDefault="00D84950">
    <w:pPr>
      <w:pStyle w:val="Encabezado"/>
    </w:pPr>
    <w:r>
      <w:rPr>
        <w:noProof/>
        <w:lang w:val="es-CO" w:eastAsia="es-CO" w:bidi="ar-SA"/>
      </w:rPr>
      <mc:AlternateContent>
        <mc:Choice Requires="wps">
          <w:drawing>
            <wp:anchor distT="0" distB="0" distL="114300" distR="114300" simplePos="0" relativeHeight="251661312" behindDoc="0" locked="0" layoutInCell="1" allowOverlap="1" wp14:editId="36B11C9B">
              <wp:simplePos x="0" y="0"/>
              <wp:positionH relativeFrom="column">
                <wp:posOffset>3362265</wp:posOffset>
              </wp:positionH>
              <wp:positionV relativeFrom="paragraph">
                <wp:posOffset>-255180</wp:posOffset>
              </wp:positionV>
              <wp:extent cx="2016000" cy="140398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1403985"/>
                      </a:xfrm>
                      <a:prstGeom prst="rect">
                        <a:avLst/>
                      </a:prstGeom>
                      <a:solidFill>
                        <a:srgbClr val="FFFFFF"/>
                      </a:solidFill>
                      <a:ln w="9525">
                        <a:noFill/>
                        <a:miter lim="800000"/>
                        <a:headEnd/>
                        <a:tailEnd/>
                      </a:ln>
                    </wps:spPr>
                    <wps:txbx>
                      <w:txbxContent>
                        <w:p w:rsidR="00D84950" w:rsidRPr="008F6492" w:rsidRDefault="006162AF" w:rsidP="00D84950">
                          <w:pPr>
                            <w:jc w:val="right"/>
                            <w:rPr>
                              <w:b/>
                              <w:sz w:val="24"/>
                              <w:szCs w:val="24"/>
                            </w:rPr>
                          </w:pPr>
                          <w:r w:rsidRPr="008F6492">
                            <w:rPr>
                              <w:b/>
                              <w:sz w:val="24"/>
                              <w:szCs w:val="24"/>
                            </w:rPr>
                            <w:t xml:space="preserve">Boletín No. </w:t>
                          </w:r>
                          <w:r w:rsidR="00E41083">
                            <w:rPr>
                              <w:b/>
                              <w:sz w:val="24"/>
                              <w:szCs w:val="24"/>
                            </w:rPr>
                            <w:t>7</w:t>
                          </w:r>
                          <w:r w:rsidR="00D84950" w:rsidRPr="008F6492">
                            <w:rPr>
                              <w:b/>
                              <w:sz w:val="24"/>
                              <w:szCs w:val="24"/>
                            </w:rPr>
                            <w:t xml:space="preserve">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4.75pt;margin-top:-20.1pt;width:15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" stroked="f">
              <v:textbox style="mso-fit-shape-to-text:t">
                <w:txbxContent>
                  <w:p w:rsidR="00D84950" w:rsidRPr="008F6492" w:rsidRDefault="006162AF" w:rsidP="00D84950">
                    <w:pPr>
                      <w:jc w:val="right"/>
                      <w:rPr>
                        <w:b/>
                        <w:sz w:val="24"/>
                        <w:szCs w:val="24"/>
                      </w:rPr>
                    </w:pPr>
                    <w:r w:rsidRPr="008F6492">
                      <w:rPr>
                        <w:b/>
                        <w:sz w:val="24"/>
                        <w:szCs w:val="24"/>
                      </w:rPr>
                      <w:t xml:space="preserve">Boletín No. </w:t>
                    </w:r>
                    <w:r w:rsidR="00E41083">
                      <w:rPr>
                        <w:b/>
                        <w:sz w:val="24"/>
                        <w:szCs w:val="24"/>
                      </w:rPr>
                      <w:t>7</w:t>
                    </w:r>
                    <w:r w:rsidR="00D84950" w:rsidRPr="008F6492">
                      <w:rPr>
                        <w:b/>
                        <w:sz w:val="24"/>
                        <w:szCs w:val="24"/>
                      </w:rPr>
                      <w:t xml:space="preserve"> - 2019</w:t>
                    </w:r>
                  </w:p>
                </w:txbxContent>
              </v:textbox>
            </v:shape>
          </w:pict>
        </mc:Fallback>
      </mc:AlternateContent>
    </w:r>
    <w:r>
      <w:rPr>
        <w:rFonts w:ascii="Times New Roman" w:hAnsi="Times New Roman"/>
        <w:noProof/>
        <w:sz w:val="24"/>
        <w:szCs w:val="24"/>
        <w:lang w:val="es-CO" w:eastAsia="es-CO" w:bidi="ar-SA"/>
      </w:rPr>
      <w:drawing>
        <wp:anchor distT="36576" distB="36576" distL="36576" distR="36576" simplePos="0" relativeHeight="251659264" behindDoc="0" locked="0" layoutInCell="1" allowOverlap="1" wp14:anchorId="633AA27E" wp14:editId="5B78A45F">
          <wp:simplePos x="0" y="0"/>
          <wp:positionH relativeFrom="column">
            <wp:posOffset>-475335</wp:posOffset>
          </wp:positionH>
          <wp:positionV relativeFrom="paragraph">
            <wp:posOffset>-370380</wp:posOffset>
          </wp:positionV>
          <wp:extent cx="2030400" cy="737459"/>
          <wp:effectExtent l="0" t="0" r="8255" b="5715"/>
          <wp:wrapNone/>
          <wp:docPr id="3" name="Imagen 3" descr="LOGO PERSONERI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SONERI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12" cy="742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E8E"/>
    <w:multiLevelType w:val="hybridMultilevel"/>
    <w:tmpl w:val="EAAEB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195229"/>
    <w:multiLevelType w:val="hybridMultilevel"/>
    <w:tmpl w:val="5CB865D6"/>
    <w:lvl w:ilvl="0" w:tplc="4D68E602">
      <w:start w:val="1"/>
      <w:numFmt w:val="decimal"/>
      <w:lvlText w:val="%1."/>
      <w:lvlJc w:val="left"/>
      <w:pPr>
        <w:ind w:left="720" w:hanging="360"/>
      </w:pPr>
      <w:rPr>
        <w:rFonts w:hint="default"/>
        <w:b/>
        <w:w w:val="1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FD17010"/>
    <w:multiLevelType w:val="hybridMultilevel"/>
    <w:tmpl w:val="C62863F6"/>
    <w:lvl w:ilvl="0" w:tplc="2ED03FBE">
      <w:start w:val="1"/>
      <w:numFmt w:val="decimal"/>
      <w:lvlText w:val="%1."/>
      <w:lvlJc w:val="left"/>
      <w:pPr>
        <w:ind w:left="1239" w:hanging="348"/>
        <w:jc w:val="right"/>
      </w:pPr>
      <w:rPr>
        <w:rFonts w:ascii="Verdana" w:eastAsia="Verdana" w:hAnsi="Verdana" w:cs="Verdana" w:hint="default"/>
        <w:b/>
        <w:bCs/>
        <w:w w:val="100"/>
        <w:sz w:val="22"/>
        <w:szCs w:val="22"/>
        <w:lang w:val="es-ES" w:eastAsia="es-ES" w:bidi="es-ES"/>
      </w:rPr>
    </w:lvl>
    <w:lvl w:ilvl="1" w:tplc="B8F0829E">
      <w:numFmt w:val="bullet"/>
      <w:lvlText w:val="•"/>
      <w:lvlJc w:val="left"/>
      <w:pPr>
        <w:ind w:left="2246" w:hanging="348"/>
      </w:pPr>
      <w:rPr>
        <w:rFonts w:hint="default"/>
        <w:lang w:val="es-ES" w:eastAsia="es-ES" w:bidi="es-ES"/>
      </w:rPr>
    </w:lvl>
    <w:lvl w:ilvl="2" w:tplc="645ECE68">
      <w:numFmt w:val="bullet"/>
      <w:lvlText w:val="•"/>
      <w:lvlJc w:val="left"/>
      <w:pPr>
        <w:ind w:left="3252" w:hanging="348"/>
      </w:pPr>
      <w:rPr>
        <w:rFonts w:hint="default"/>
        <w:lang w:val="es-ES" w:eastAsia="es-ES" w:bidi="es-ES"/>
      </w:rPr>
    </w:lvl>
    <w:lvl w:ilvl="3" w:tplc="23FE10FC">
      <w:numFmt w:val="bullet"/>
      <w:lvlText w:val="•"/>
      <w:lvlJc w:val="left"/>
      <w:pPr>
        <w:ind w:left="4259" w:hanging="348"/>
      </w:pPr>
      <w:rPr>
        <w:rFonts w:hint="default"/>
        <w:lang w:val="es-ES" w:eastAsia="es-ES" w:bidi="es-ES"/>
      </w:rPr>
    </w:lvl>
    <w:lvl w:ilvl="4" w:tplc="089CA128">
      <w:numFmt w:val="bullet"/>
      <w:lvlText w:val="•"/>
      <w:lvlJc w:val="left"/>
      <w:pPr>
        <w:ind w:left="5265" w:hanging="348"/>
      </w:pPr>
      <w:rPr>
        <w:rFonts w:hint="default"/>
        <w:lang w:val="es-ES" w:eastAsia="es-ES" w:bidi="es-ES"/>
      </w:rPr>
    </w:lvl>
    <w:lvl w:ilvl="5" w:tplc="0B3EB884">
      <w:numFmt w:val="bullet"/>
      <w:lvlText w:val="•"/>
      <w:lvlJc w:val="left"/>
      <w:pPr>
        <w:ind w:left="6272" w:hanging="348"/>
      </w:pPr>
      <w:rPr>
        <w:rFonts w:hint="default"/>
        <w:lang w:val="es-ES" w:eastAsia="es-ES" w:bidi="es-ES"/>
      </w:rPr>
    </w:lvl>
    <w:lvl w:ilvl="6" w:tplc="25F826E6">
      <w:numFmt w:val="bullet"/>
      <w:lvlText w:val="•"/>
      <w:lvlJc w:val="left"/>
      <w:pPr>
        <w:ind w:left="7278" w:hanging="348"/>
      </w:pPr>
      <w:rPr>
        <w:rFonts w:hint="default"/>
        <w:lang w:val="es-ES" w:eastAsia="es-ES" w:bidi="es-ES"/>
      </w:rPr>
    </w:lvl>
    <w:lvl w:ilvl="7" w:tplc="D054BF88">
      <w:numFmt w:val="bullet"/>
      <w:lvlText w:val="•"/>
      <w:lvlJc w:val="left"/>
      <w:pPr>
        <w:ind w:left="8284" w:hanging="348"/>
      </w:pPr>
      <w:rPr>
        <w:rFonts w:hint="default"/>
        <w:lang w:val="es-ES" w:eastAsia="es-ES" w:bidi="es-ES"/>
      </w:rPr>
    </w:lvl>
    <w:lvl w:ilvl="8" w:tplc="67DCD866">
      <w:numFmt w:val="bullet"/>
      <w:lvlText w:val="•"/>
      <w:lvlJc w:val="left"/>
      <w:pPr>
        <w:ind w:left="9291" w:hanging="348"/>
      </w:pPr>
      <w:rPr>
        <w:rFonts w:hint="default"/>
        <w:lang w:val="es-ES" w:eastAsia="es-ES" w:bidi="es-ES"/>
      </w:rPr>
    </w:lvl>
  </w:abstractNum>
  <w:abstractNum w:abstractNumId="3">
    <w:nsid w:val="70537236"/>
    <w:multiLevelType w:val="hybridMultilevel"/>
    <w:tmpl w:val="C9960938"/>
    <w:lvl w:ilvl="0" w:tplc="84F8C2FC">
      <w:start w:val="1"/>
      <w:numFmt w:val="decimal"/>
      <w:lvlText w:val="%1."/>
      <w:lvlJc w:val="left"/>
      <w:pPr>
        <w:ind w:left="927" w:hanging="360"/>
      </w:pPr>
      <w:rPr>
        <w:rFonts w:hint="default"/>
        <w:w w:val="105"/>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nsid w:val="75504209"/>
    <w:multiLevelType w:val="hybridMultilevel"/>
    <w:tmpl w:val="03A4EDF6"/>
    <w:lvl w:ilvl="0" w:tplc="3334B478">
      <w:start w:val="1"/>
      <w:numFmt w:val="decimal"/>
      <w:lvlText w:val="%1."/>
      <w:lvlJc w:val="left"/>
      <w:pPr>
        <w:ind w:left="524" w:hanging="360"/>
      </w:pPr>
      <w:rPr>
        <w:rFonts w:hint="default"/>
      </w:rPr>
    </w:lvl>
    <w:lvl w:ilvl="1" w:tplc="240A0019" w:tentative="1">
      <w:start w:val="1"/>
      <w:numFmt w:val="lowerLetter"/>
      <w:lvlText w:val="%2."/>
      <w:lvlJc w:val="left"/>
      <w:pPr>
        <w:ind w:left="1244" w:hanging="360"/>
      </w:pPr>
    </w:lvl>
    <w:lvl w:ilvl="2" w:tplc="240A001B" w:tentative="1">
      <w:start w:val="1"/>
      <w:numFmt w:val="lowerRoman"/>
      <w:lvlText w:val="%3."/>
      <w:lvlJc w:val="right"/>
      <w:pPr>
        <w:ind w:left="1964" w:hanging="180"/>
      </w:pPr>
    </w:lvl>
    <w:lvl w:ilvl="3" w:tplc="240A000F" w:tentative="1">
      <w:start w:val="1"/>
      <w:numFmt w:val="decimal"/>
      <w:lvlText w:val="%4."/>
      <w:lvlJc w:val="left"/>
      <w:pPr>
        <w:ind w:left="2684" w:hanging="360"/>
      </w:pPr>
    </w:lvl>
    <w:lvl w:ilvl="4" w:tplc="240A0019" w:tentative="1">
      <w:start w:val="1"/>
      <w:numFmt w:val="lowerLetter"/>
      <w:lvlText w:val="%5."/>
      <w:lvlJc w:val="left"/>
      <w:pPr>
        <w:ind w:left="3404" w:hanging="360"/>
      </w:pPr>
    </w:lvl>
    <w:lvl w:ilvl="5" w:tplc="240A001B" w:tentative="1">
      <w:start w:val="1"/>
      <w:numFmt w:val="lowerRoman"/>
      <w:lvlText w:val="%6."/>
      <w:lvlJc w:val="right"/>
      <w:pPr>
        <w:ind w:left="4124" w:hanging="180"/>
      </w:pPr>
    </w:lvl>
    <w:lvl w:ilvl="6" w:tplc="240A000F" w:tentative="1">
      <w:start w:val="1"/>
      <w:numFmt w:val="decimal"/>
      <w:lvlText w:val="%7."/>
      <w:lvlJc w:val="left"/>
      <w:pPr>
        <w:ind w:left="4844" w:hanging="360"/>
      </w:pPr>
    </w:lvl>
    <w:lvl w:ilvl="7" w:tplc="240A0019" w:tentative="1">
      <w:start w:val="1"/>
      <w:numFmt w:val="lowerLetter"/>
      <w:lvlText w:val="%8."/>
      <w:lvlJc w:val="left"/>
      <w:pPr>
        <w:ind w:left="5564" w:hanging="360"/>
      </w:pPr>
    </w:lvl>
    <w:lvl w:ilvl="8" w:tplc="240A001B" w:tentative="1">
      <w:start w:val="1"/>
      <w:numFmt w:val="lowerRoman"/>
      <w:lvlText w:val="%9."/>
      <w:lvlJc w:val="right"/>
      <w:pPr>
        <w:ind w:left="628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E"/>
    <w:rsid w:val="0007537B"/>
    <w:rsid w:val="00204936"/>
    <w:rsid w:val="002126F4"/>
    <w:rsid w:val="003310FE"/>
    <w:rsid w:val="003316B6"/>
    <w:rsid w:val="006162AF"/>
    <w:rsid w:val="00686CC2"/>
    <w:rsid w:val="008326DA"/>
    <w:rsid w:val="0086364A"/>
    <w:rsid w:val="00865538"/>
    <w:rsid w:val="008F6492"/>
    <w:rsid w:val="009B64CC"/>
    <w:rsid w:val="00AD11AC"/>
    <w:rsid w:val="00AF2345"/>
    <w:rsid w:val="00AF46D0"/>
    <w:rsid w:val="00BA5E91"/>
    <w:rsid w:val="00C316CB"/>
    <w:rsid w:val="00C60431"/>
    <w:rsid w:val="00CC4888"/>
    <w:rsid w:val="00D74B79"/>
    <w:rsid w:val="00D84950"/>
    <w:rsid w:val="00E41083"/>
    <w:rsid w:val="00E57963"/>
    <w:rsid w:val="00E80007"/>
    <w:rsid w:val="00EB6136"/>
    <w:rsid w:val="00EC480A"/>
    <w:rsid w:val="00EE7289"/>
    <w:rsid w:val="00FD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492"/>
    <w:pPr>
      <w:widowControl w:val="0"/>
      <w:autoSpaceDE w:val="0"/>
      <w:autoSpaceDN w:val="0"/>
      <w:spacing w:after="0" w:line="240" w:lineRule="auto"/>
    </w:pPr>
    <w:rPr>
      <w:rFonts w:ascii="Gulim" w:eastAsia="Gulim" w:hAnsi="Gulim" w:cs="Gulim"/>
      <w:lang w:val="es-ES" w:eastAsia="es-ES" w:bidi="es-ES"/>
    </w:rPr>
  </w:style>
  <w:style w:type="paragraph" w:styleId="Ttulo2">
    <w:name w:val="heading 2"/>
    <w:basedOn w:val="Normal"/>
    <w:link w:val="Ttulo2Car"/>
    <w:uiPriority w:val="1"/>
    <w:qFormat/>
    <w:rsid w:val="00BA5E91"/>
    <w:pPr>
      <w:spacing w:before="1"/>
      <w:ind w:left="525" w:hanging="360"/>
      <w:outlineLvl w:val="1"/>
    </w:pPr>
    <w:rPr>
      <w:rFonts w:ascii="Arial" w:eastAsia="Arial" w:hAnsi="Arial" w:cs="Arial"/>
      <w:b/>
      <w:bCs/>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rPr>
      <w:rFonts w:ascii="Arial" w:eastAsia="Arial" w:hAnsi="Arial" w:cs="Arial"/>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1"/>
    <w:qFormat/>
    <w:rsid w:val="006162AF"/>
    <w:pPr>
      <w:ind w:left="720"/>
      <w:contextualSpacing/>
    </w:pPr>
  </w:style>
  <w:style w:type="table" w:customStyle="1" w:styleId="TableNormal">
    <w:name w:val="Table Normal"/>
    <w:uiPriority w:val="2"/>
    <w:semiHidden/>
    <w:unhideWhenUsed/>
    <w:qFormat/>
    <w:rsid w:val="008F6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492"/>
  </w:style>
  <w:style w:type="character" w:customStyle="1" w:styleId="Ttulo2Car">
    <w:name w:val="Título 2 Car"/>
    <w:basedOn w:val="Fuentedeprrafopredeter"/>
    <w:link w:val="Ttulo2"/>
    <w:uiPriority w:val="1"/>
    <w:rsid w:val="00BA5E91"/>
    <w:rPr>
      <w:rFonts w:ascii="Arial" w:eastAsia="Arial"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492"/>
    <w:pPr>
      <w:widowControl w:val="0"/>
      <w:autoSpaceDE w:val="0"/>
      <w:autoSpaceDN w:val="0"/>
      <w:spacing w:after="0" w:line="240" w:lineRule="auto"/>
    </w:pPr>
    <w:rPr>
      <w:rFonts w:ascii="Gulim" w:eastAsia="Gulim" w:hAnsi="Gulim" w:cs="Gulim"/>
      <w:lang w:val="es-ES" w:eastAsia="es-ES" w:bidi="es-ES"/>
    </w:rPr>
  </w:style>
  <w:style w:type="paragraph" w:styleId="Ttulo2">
    <w:name w:val="heading 2"/>
    <w:basedOn w:val="Normal"/>
    <w:link w:val="Ttulo2Car"/>
    <w:uiPriority w:val="1"/>
    <w:qFormat/>
    <w:rsid w:val="00BA5E91"/>
    <w:pPr>
      <w:spacing w:before="1"/>
      <w:ind w:left="525" w:hanging="360"/>
      <w:outlineLvl w:val="1"/>
    </w:pPr>
    <w:rPr>
      <w:rFonts w:ascii="Arial" w:eastAsia="Arial" w:hAnsi="Arial" w:cs="Arial"/>
      <w:b/>
      <w:bCs/>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rPr>
      <w:rFonts w:ascii="Arial" w:eastAsia="Arial" w:hAnsi="Arial" w:cs="Arial"/>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1"/>
    <w:qFormat/>
    <w:rsid w:val="006162AF"/>
    <w:pPr>
      <w:ind w:left="720"/>
      <w:contextualSpacing/>
    </w:pPr>
  </w:style>
  <w:style w:type="table" w:customStyle="1" w:styleId="TableNormal">
    <w:name w:val="Table Normal"/>
    <w:uiPriority w:val="2"/>
    <w:semiHidden/>
    <w:unhideWhenUsed/>
    <w:qFormat/>
    <w:rsid w:val="008F6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492"/>
  </w:style>
  <w:style w:type="character" w:customStyle="1" w:styleId="Ttulo2Car">
    <w:name w:val="Título 2 Car"/>
    <w:basedOn w:val="Fuentedeprrafopredeter"/>
    <w:link w:val="Ttulo2"/>
    <w:uiPriority w:val="1"/>
    <w:rsid w:val="00BA5E91"/>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2688-B8BC-46EB-B2FA-43D46BA2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Valencia</dc:creator>
  <cp:lastModifiedBy>Maria Isabel Boada Espitia</cp:lastModifiedBy>
  <cp:revision>2</cp:revision>
  <dcterms:created xsi:type="dcterms:W3CDTF">2019-07-19T22:03:00Z</dcterms:created>
  <dcterms:modified xsi:type="dcterms:W3CDTF">2019-07-19T22:03:00Z</dcterms:modified>
</cp:coreProperties>
</file>